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rPr>
          <w:rFonts w:hint="eastAsia" w:ascii="仿宋_GB2312" w:hAnsi="宋体" w:eastAsia="仿宋_GB2312"/>
          <w:b/>
          <w:sz w:val="52"/>
          <w:szCs w:val="52"/>
        </w:rPr>
      </w:pPr>
      <w:r>
        <w:rPr>
          <w:rFonts w:hint="eastAsia" w:ascii="仿宋_GB2312" w:hAnsi="宋体" w:eastAsia="仿宋_GB2312"/>
          <w:b/>
          <w:sz w:val="52"/>
          <w:szCs w:val="52"/>
          <w:lang w:eastAsia="zh-CN"/>
        </w:rPr>
        <w:t>绍兴市再生能源发展有限公司</w:t>
      </w:r>
    </w:p>
    <w:p>
      <w:pPr>
        <w:pStyle w:val="2"/>
      </w:pP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绿植租摆及养护项目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询价</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ZSNY2304027 </w:t>
      </w:r>
    </w:p>
    <w:p>
      <w:pPr>
        <w:spacing w:line="360" w:lineRule="auto"/>
        <w:ind w:firstLine="80" w:firstLineChars="25"/>
        <w:jc w:val="center"/>
        <w:rPr>
          <w:rFonts w:hint="eastAsia" w:ascii="仿宋" w:hAnsi="仿宋" w:eastAsia="仿宋" w:cs="仿宋"/>
          <w:sz w:val="32"/>
          <w:szCs w:val="32"/>
          <w:u w:val="single"/>
          <w:lang w:val="en-US" w:eastAsia="zh-CN"/>
        </w:rPr>
      </w:pPr>
      <w:bookmarkStart w:id="0" w:name="OLE_LINK53"/>
      <w:bookmarkStart w:id="1" w:name="OLE_LINK52"/>
      <w:r>
        <w:rPr>
          <w:rFonts w:hint="eastAsia" w:ascii="仿宋" w:hAnsi="仿宋" w:eastAsia="仿宋" w:cs="仿宋"/>
          <w:sz w:val="32"/>
          <w:szCs w:val="32"/>
        </w:rPr>
        <w:t>项目名称：</w:t>
      </w:r>
      <w:bookmarkEnd w:id="0"/>
      <w:bookmarkEnd w:id="1"/>
      <w:r>
        <w:rPr>
          <w:rFonts w:hint="eastAsia" w:ascii="仿宋" w:hAnsi="仿宋" w:eastAsia="仿宋" w:cs="仿宋"/>
          <w:sz w:val="32"/>
          <w:szCs w:val="32"/>
          <w:u w:val="single"/>
          <w:lang w:val="en-US" w:eastAsia="zh-CN"/>
        </w:rPr>
        <w:t xml:space="preserve"> 绿植租摆及养护项目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sz w:val="36"/>
        </w:rPr>
        <w:fldChar w:fldCharType="begin"/>
      </w:r>
      <w:r>
        <w:rPr>
          <w:rFonts w:hint="eastAsia" w:ascii="仿宋" w:hAnsi="仿宋" w:eastAsia="仿宋" w:cs="仿宋"/>
          <w:sz w:val="36"/>
        </w:rPr>
        <w:instrText xml:space="preserve"> TOC \o "1-3" \h \z \u </w:instrText>
      </w:r>
      <w:r>
        <w:rPr>
          <w:rFonts w:hint="eastAsia" w:ascii="仿宋" w:hAnsi="仿宋" w:eastAsia="仿宋" w:cs="仿宋"/>
          <w:sz w:val="36"/>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"_Toc530583921"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第一部分   询价公告</w:t>
      </w:r>
      <w:bookmarkStart w:id="2" w:name="_Hlt4078679"/>
      <w:bookmarkStart w:id="3" w:name="_Hlt4078678"/>
      <w:r>
        <w:rPr>
          <w:rFonts w:hint="eastAsia" w:ascii="仿宋" w:hAnsi="仿宋" w:eastAsia="仿宋" w:cs="仿宋"/>
          <w:b w:val="0"/>
          <w:sz w:val="36"/>
        </w:rPr>
        <w:tab/>
      </w:r>
      <w:bookmarkEnd w:id="2"/>
      <w:bookmarkEnd w:id="3"/>
      <w:r>
        <w:rPr>
          <w:rFonts w:hint="eastAsia" w:ascii="仿宋" w:hAnsi="仿宋" w:eastAsia="仿宋" w:cs="仿宋"/>
          <w:b w:val="0"/>
          <w:sz w:val="36"/>
        </w:rPr>
        <w:t>3</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"_Toc530583922"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第二部分   采购须知</w:t>
      </w:r>
      <w:r>
        <w:rPr>
          <w:rFonts w:hint="eastAsia" w:ascii="仿宋" w:hAnsi="仿宋" w:eastAsia="仿宋" w:cs="仿宋"/>
          <w:b w:val="0"/>
          <w:sz w:val="36"/>
        </w:rPr>
        <w:tab/>
      </w:r>
      <w:r>
        <w:rPr>
          <w:rFonts w:hint="eastAsia" w:ascii="仿宋" w:hAnsi="仿宋" w:eastAsia="仿宋" w:cs="仿宋"/>
          <w:b w:val="0"/>
          <w:sz w:val="36"/>
          <w:lang w:val="en-US" w:eastAsia="zh-CN"/>
        </w:rPr>
        <w:t>9</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"_Toc530583923"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第三部分   询价内容</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3</w:t>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"_Toc530583924"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第四部分   报价文件格式</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4</w:t>
      </w:r>
    </w:p>
    <w:p>
      <w:pPr>
        <w:rPr>
          <w:rFonts w:hint="eastAsia" w:ascii="仿宋" w:hAnsi="仿宋" w:eastAsia="仿宋" w:cs="仿宋"/>
          <w:sz w:val="36"/>
        </w:rPr>
      </w:pPr>
      <w:r>
        <w:rPr>
          <w:rFonts w:hint="eastAsia" w:ascii="仿宋" w:hAnsi="仿宋" w:eastAsia="仿宋" w:cs="仿宋"/>
          <w:sz w:val="36"/>
        </w:rPr>
        <w:fldChar w:fldCharType="end"/>
      </w:r>
    </w:p>
    <w:p>
      <w:pPr>
        <w:rPr>
          <w:rFonts w:hint="eastAsia" w:ascii="仿宋" w:hAnsi="仿宋" w:eastAsia="仿宋" w:cs="仿宋"/>
          <w:sz w:val="36"/>
        </w:rPr>
      </w:pPr>
    </w:p>
    <w:p>
      <w:pPr>
        <w:snapToGrid w:val="0"/>
        <w:jc w:val="center"/>
        <w:rPr>
          <w:rFonts w:hint="eastAsia" w:ascii="仿宋" w:hAnsi="仿宋" w:eastAsia="仿宋" w:cs="仿宋"/>
          <w:snapToGrid w:val="0"/>
          <w:sz w:val="30"/>
          <w:szCs w:val="30"/>
        </w:rPr>
      </w:pPr>
      <w:bookmarkStart w:id="13" w:name="_GoBack"/>
      <w:bookmarkEnd w:id="13"/>
      <w:r>
        <w:rPr>
          <w:rFonts w:hint="eastAsia" w:ascii="仿宋" w:hAnsi="仿宋" w:eastAsia="仿宋" w:cs="仿宋"/>
          <w:sz w:val="32"/>
          <w:szCs w:val="32"/>
        </w:rPr>
        <w:br w:type="page"/>
      </w:r>
      <w:bookmarkStart w:id="4" w:name="_Toc530583878"/>
      <w:bookmarkStart w:id="5" w:name="_Toc530583921"/>
      <w:r>
        <w:rPr>
          <w:rFonts w:hint="eastAsia" w:ascii="仿宋" w:hAnsi="仿宋" w:eastAsia="仿宋" w:cs="仿宋"/>
          <w:b/>
          <w:snapToGrid w:val="0"/>
          <w:color w:val="000000"/>
          <w:kern w:val="44"/>
          <w:sz w:val="44"/>
          <w:szCs w:val="44"/>
          <w:lang w:val="en-US" w:eastAsia="zh-CN" w:bidi="ar-SA"/>
        </w:rPr>
        <w:t>第一部分   询价公告</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对厂区内绿植租摆及养护项目进行公开询价</w:t>
      </w:r>
      <w:r>
        <w:rPr>
          <w:rFonts w:hint="eastAsia" w:ascii="仿宋" w:hAnsi="仿宋" w:eastAsia="仿宋" w:cs="仿宋"/>
          <w:sz w:val="30"/>
          <w:szCs w:val="30"/>
        </w:rPr>
        <w:t>，欢迎符合要求的供应商积极参与。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ZSNY2304027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2"/>
        <w:tblW w:w="8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1"/>
        <w:gridCol w:w="3288"/>
        <w:gridCol w:w="2090"/>
        <w:gridCol w:w="893"/>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5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再生资源租摆清单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花卉名称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厂区</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一楼门前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清香木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大龙须铁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一至二楼楼梯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二楼中央控制所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吉利红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天堂鸟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二楼电梯口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二楼车间走廊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二楼长走廊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三楼楼梯口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三楼长走廊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非洲茉莉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青叶月季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花箱8只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三楼教育基地门前镜墙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叶叶兰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三楼教育基地圆形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三楼教育基地大厅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高盆虎皮兰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五楼吊机平台电梯口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高盆万年青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五楼吊机平台长走廊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叶叶兰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办公大楼</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黄金万两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小发财树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二楼电梯口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清香木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一楼楼梯休息平台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鸭脚木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宿舍楼休息平台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叶叶兰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地磅房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天堂鸟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大发财树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翠兰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小花</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小发财树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党群服务中心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四楼电梯口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澳洲杉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君子兰盆景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开花君子兰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鸭脚木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大发财树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三楼接待室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花叶万年青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小绿宝</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步步高发财树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三楼电梯口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三楼厕所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3.采购要求：绿植需冠径周正，外观无残损，无病虫害等问题，且在5日内绿植成活率为80%及以上，如发现绿植死亡，需及时更换。</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4.服务期限为2023年6月1日-2024年5月31日。</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10.00万</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4月21</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13957589811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4月14</w:t>
      </w:r>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rPr>
          <w:rFonts w:ascii="仿宋_GB2312" w:eastAsia="仿宋_GB2312"/>
          <w:snapToGrid w:val="0"/>
          <w:sz w:val="30"/>
          <w:szCs w:val="30"/>
        </w:rPr>
      </w:pPr>
      <w:r>
        <w:rPr>
          <w:rFonts w:hint="eastAsia" w:ascii="仿宋_GB2312" w:eastAsia="仿宋_GB2312"/>
          <w:sz w:val="30"/>
          <w:szCs w:val="30"/>
        </w:rPr>
        <w:br w:type="page"/>
      </w:r>
      <w:bookmarkStart w:id="8" w:name="_Toc530583879"/>
      <w:bookmarkStart w:id="9" w:name="_Toc530583922"/>
      <w:r>
        <w:rPr>
          <w:rFonts w:hint="eastAsia" w:ascii="仿宋_GB2312" w:hAnsi="Arial" w:eastAsia="仿宋_GB2312" w:cs="Times New Roman"/>
          <w:b/>
          <w:snapToGrid w:val="0"/>
          <w:color w:val="000000"/>
          <w:kern w:val="44"/>
          <w:sz w:val="44"/>
          <w:szCs w:val="44"/>
          <w:lang w:val="en-US" w:eastAsia="zh-CN" w:bidi="ar-SA"/>
        </w:rPr>
        <w:t>第二部分   采购须知</w:t>
      </w:r>
      <w:bookmarkEnd w:id="8"/>
      <w:bookmarkEnd w:id="9"/>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三、采购报价。</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四、报价有效期。</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left="-178" w:leftChars="-85" w:firstLine="771" w:firstLineChars="257"/>
        <w:jc w:val="left"/>
        <w:rPr>
          <w:rFonts w:ascii="仿宋_GB2312" w:eastAsia="仿宋_GB2312"/>
          <w:sz w:val="30"/>
          <w:szCs w:val="30"/>
        </w:rPr>
      </w:pPr>
      <w:r>
        <w:rPr>
          <w:rFonts w:hint="eastAsia" w:ascii="仿宋_GB2312" w:eastAsia="仿宋_GB2312"/>
          <w:bCs/>
          <w:sz w:val="30"/>
          <w:szCs w:val="30"/>
        </w:rPr>
        <w:t>六、报价文件的签署和份</w:t>
      </w:r>
      <w:r>
        <w:rPr>
          <w:rFonts w:hint="eastAsia" w:ascii="仿宋_GB2312" w:eastAsia="仿宋_GB2312"/>
          <w:sz w:val="30"/>
          <w:szCs w:val="30"/>
        </w:rPr>
        <w:t>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firstLine="681" w:firstLineChars="227"/>
        <w:jc w:val="left"/>
        <w:rPr>
          <w:rFonts w:ascii="仿宋_GB2312" w:eastAsia="仿宋_GB2312"/>
          <w:sz w:val="30"/>
          <w:szCs w:val="30"/>
        </w:rPr>
      </w:pPr>
      <w:r>
        <w:rPr>
          <w:rFonts w:hint="eastAsia" w:ascii="仿宋_GB2312" w:eastAsia="仿宋_GB2312"/>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w:t>
      </w:r>
      <w:r>
        <w:rPr>
          <w:rFonts w:hint="eastAsia" w:ascii="仿宋_GB2312" w:eastAsia="仿宋_GB2312"/>
          <w:b/>
          <w:bCs/>
          <w:sz w:val="30"/>
          <w:szCs w:val="30"/>
          <w:lang w:val="en-US" w:eastAsia="zh-CN"/>
        </w:rPr>
        <w:t xml:space="preserve">  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要求的前提下，按经评审通过后总金额最低价成交的原则确定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8"/>
        <w:pageBreakBefore w:val="0"/>
        <w:widowControl w:val="0"/>
        <w:kinsoku/>
        <w:wordWrap/>
        <w:topLinePunct w:val="0"/>
        <w:bidi w:val="0"/>
        <w:snapToGrid w:val="0"/>
        <w:spacing w:line="360" w:lineRule="auto"/>
        <w:ind w:firstLine="60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rPr>
      </w:pPr>
    </w:p>
    <w:p>
      <w:pPr>
        <w:pStyle w:val="3"/>
        <w:rPr>
          <w:rFonts w:hint="eastAsia"/>
        </w:rPr>
      </w:pPr>
    </w:p>
    <w:p>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sz w:val="24"/>
          <w:szCs w:val="24"/>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r>
        <w:rPr>
          <w:rFonts w:hint="eastAsia" w:ascii="仿宋" w:hAnsi="仿宋" w:eastAsia="仿宋" w:cs="仿宋"/>
          <w:sz w:val="24"/>
          <w:szCs w:val="24"/>
        </w:rPr>
        <w:t>：</w:t>
      </w:r>
      <w:r>
        <w:rPr>
          <w:rFonts w:hint="eastAsia" w:ascii="仿宋" w:hAnsi="仿宋" w:eastAsia="仿宋" w:cs="仿宋"/>
          <w:color w:val="auto"/>
          <w:kern w:val="2"/>
          <w:sz w:val="30"/>
          <w:szCs w:val="30"/>
          <w:lang w:val="en-US" w:eastAsia="zh-CN"/>
        </w:rPr>
        <w:t>详见报价清单</w:t>
      </w:r>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本项目供货期为一年，</w:t>
      </w:r>
      <w:r>
        <w:rPr>
          <w:rFonts w:hint="eastAsia" w:ascii="仿宋" w:hAnsi="仿宋" w:eastAsia="仿宋" w:cs="仿宋"/>
          <w:color w:val="auto"/>
          <w:kern w:val="2"/>
          <w:sz w:val="30"/>
          <w:szCs w:val="30"/>
        </w:rPr>
        <w:t>根据采购人实际需要，分批次供货。供应商接到采购人送货通知后，</w:t>
      </w:r>
      <w:r>
        <w:rPr>
          <w:rFonts w:hint="eastAsia" w:ascii="仿宋" w:hAnsi="仿宋" w:eastAsia="仿宋" w:cs="仿宋"/>
          <w:color w:val="auto"/>
          <w:kern w:val="2"/>
          <w:sz w:val="30"/>
          <w:szCs w:val="30"/>
          <w:lang w:val="en-US" w:eastAsia="zh-CN"/>
        </w:rPr>
        <w:t>10个</w:t>
      </w:r>
      <w:r>
        <w:rPr>
          <w:rFonts w:hint="eastAsia" w:ascii="仿宋" w:hAnsi="仿宋" w:eastAsia="仿宋" w:cs="仿宋"/>
          <w:color w:val="auto"/>
          <w:kern w:val="2"/>
          <w:sz w:val="30"/>
          <w:szCs w:val="30"/>
          <w:lang w:eastAsia="zh-CN"/>
        </w:rPr>
        <w:t>工作日</w:t>
      </w:r>
      <w:r>
        <w:rPr>
          <w:rFonts w:hint="eastAsia" w:ascii="仿宋" w:hAnsi="仿宋" w:eastAsia="仿宋" w:cs="仿宋"/>
          <w:color w:val="auto"/>
          <w:kern w:val="2"/>
          <w:sz w:val="30"/>
          <w:szCs w:val="30"/>
        </w:rPr>
        <w:t>内将货物如数送至采购人指定地点。</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每月完成绿植养护后，中标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rPr>
          <w:rFonts w:hint="eastAsia" w:ascii="仿宋" w:hAnsi="仿宋" w:eastAsia="仿宋" w:cs="仿宋"/>
          <w:snapToGrid w:val="0"/>
          <w:sz w:val="44"/>
          <w:szCs w:val="44"/>
        </w:rPr>
      </w:pPr>
      <w:bookmarkStart w:id="10" w:name="_Toc530583924"/>
      <w:r>
        <w:rPr>
          <w:rFonts w:hint="eastAsia" w:ascii="仿宋" w:hAnsi="仿宋" w:eastAsia="仿宋" w:cs="仿宋"/>
          <w:snapToGrid w:val="0"/>
          <w:sz w:val="30"/>
          <w:szCs w:val="30"/>
        </w:rPr>
        <w:br w:type="page"/>
      </w:r>
      <w:r>
        <w:rPr>
          <w:rFonts w:hint="eastAsia" w:ascii="仿宋" w:hAnsi="仿宋" w:eastAsia="仿宋" w:cs="仿宋"/>
          <w:snapToGrid w:val="0"/>
          <w:sz w:val="44"/>
          <w:szCs w:val="44"/>
        </w:rPr>
        <w:t>第四部分    报价文件格式</w:t>
      </w:r>
      <w:bookmarkEnd w:id="10"/>
    </w:p>
    <w:p>
      <w:pPr>
        <w:spacing w:line="480" w:lineRule="auto"/>
        <w:jc w:val="left"/>
        <w:rPr>
          <w:rFonts w:hint="eastAsia" w:ascii="仿宋" w:hAnsi="仿宋" w:eastAsia="仿宋" w:cs="仿宋"/>
          <w:b/>
          <w:sz w:val="28"/>
        </w:rPr>
      </w:pPr>
      <w:r>
        <w:rPr>
          <w:rStyle w:val="19"/>
          <w:rFonts w:hint="eastAsia" w:ascii="仿宋" w:hAnsi="仿宋" w:eastAsia="仿宋" w:cs="仿宋"/>
          <w:sz w:val="30"/>
        </w:rPr>
        <w:t>附件一：</w:t>
      </w:r>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eastAsia="zh-CN"/>
        </w:rPr>
        <w:t>绿植租摆及养护</w:t>
      </w:r>
      <w:r>
        <w:rPr>
          <w:rFonts w:hint="eastAsia" w:ascii="仿宋" w:hAnsi="仿宋" w:eastAsia="仿宋" w:cs="仿宋"/>
          <w:sz w:val="52"/>
        </w:rPr>
        <w:t>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ZSNY2304027</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19"/>
          <w:rFonts w:hint="eastAsia" w:ascii="仿宋" w:hAnsi="仿宋" w:eastAsia="仿宋" w:cs="仿宋"/>
          <w:sz w:val="30"/>
        </w:rPr>
        <w:br w:type="page"/>
      </w:r>
    </w:p>
    <w:p>
      <w:pPr>
        <w:adjustRightInd w:val="0"/>
        <w:snapToGrid w:val="0"/>
        <w:spacing w:line="360" w:lineRule="auto"/>
        <w:ind w:right="480"/>
        <w:jc w:val="left"/>
        <w:rPr>
          <w:rStyle w:val="19"/>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rPr>
          <w:rStyle w:val="19"/>
          <w:rFonts w:hint="eastAsia" w:ascii="仿宋" w:hAnsi="仿宋" w:eastAsia="仿宋" w:cs="仿宋"/>
          <w:sz w:val="30"/>
        </w:rPr>
      </w:pPr>
      <w:r>
        <w:rPr>
          <w:rStyle w:val="19"/>
          <w:rFonts w:hint="eastAsia" w:ascii="仿宋" w:hAnsi="仿宋" w:eastAsia="仿宋" w:cs="仿宋"/>
          <w:sz w:val="30"/>
        </w:rPr>
        <w:t xml:space="preserve">附件二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绍兴市再生能源发展有限公司绿植租摆及养护 </w:t>
      </w:r>
      <w:r>
        <w:rPr>
          <w:rFonts w:hint="eastAsia" w:ascii="仿宋" w:hAnsi="仿宋" w:eastAsia="仿宋" w:cs="仿宋"/>
          <w:sz w:val="30"/>
          <w:szCs w:val="30"/>
          <w:u w:val="none"/>
          <w:lang w:val="en-US" w:eastAsia="zh-CN"/>
        </w:rPr>
        <w:t>项目。</w:t>
      </w:r>
    </w:p>
    <w:tbl>
      <w:tblPr>
        <w:tblStyle w:val="12"/>
        <w:tblW w:w="87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845"/>
        <w:gridCol w:w="1879"/>
        <w:gridCol w:w="1207"/>
        <w:gridCol w:w="1018"/>
        <w:gridCol w:w="1018"/>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地点</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花卉名称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none"/>
                <w:u w:val="none"/>
                <w:lang w:val="en-US" w:eastAsia="zh-CN" w:bidi="ar"/>
              </w:rPr>
              <w:t>单价（元/盆/天）含税</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天数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厂区</w:t>
            </w: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一楼门前</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清香木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一楼大楼</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大龙须铁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一楼大厅厕所</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一至二楼楼梯</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二楼大厅</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二楼厕所</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二楼中央控制所</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吉利红</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天堂鸟</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二楼电梯口</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二楼车间走廊</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二楼厕所</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二楼长走廊</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三楼楼梯口</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三楼大厅</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三楼厕所</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三楼长走廊</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非洲茉莉</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青叶月季</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花箱8只</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三楼教育基地门前镜墙</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叶叶兰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三楼教育基地圆形</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青鉄</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三楼教育基地大厅</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高盆虎皮兰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五楼吊机平台电梯口</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高盆万年青</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五楼吊机平台长走廊</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叶叶兰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办公大楼</w:t>
            </w: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黄金万两</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小花</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小发财树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二楼电梯口</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二楼厕所</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二楼走廊</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椰子</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一楼大门口</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清香木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一楼楼梯休息平台</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鸭脚木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w:t>
            </w:r>
          </w:p>
        </w:tc>
        <w:tc>
          <w:tcPr>
            <w:tcW w:w="1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电梯口</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宿舍楼休息平台</w:t>
            </w:r>
          </w:p>
        </w:tc>
        <w:tc>
          <w:tcPr>
            <w:tcW w:w="18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叶叶兰</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门卫</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地磅房</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天堂鸟</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仓库间</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化验室</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大椰子</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大发财树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翠兰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12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小花</w:t>
            </w:r>
          </w:p>
        </w:tc>
        <w:tc>
          <w:tcPr>
            <w:tcW w:w="12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小发财树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小椰子</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党群服务中心</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四楼厕所</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四楼走廊</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四楼电梯口</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龙须铁</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澳洲杉</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君子兰盆景</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开花君子兰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鸭脚木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小花</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大发财树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小花</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三楼接待室</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花叶万年青</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8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12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竹柏</w:t>
            </w:r>
          </w:p>
        </w:tc>
        <w:tc>
          <w:tcPr>
            <w:tcW w:w="12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小绿宝</w:t>
            </w:r>
          </w:p>
        </w:tc>
        <w:tc>
          <w:tcPr>
            <w:tcW w:w="12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步步高发财树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金贞</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三星桂</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三楼会议室</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三楼走廊</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青鉄</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三楼电梯口</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三楼厕所</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365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每月完成绿植养护后，中标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FF0000"/>
          <w:sz w:val="30"/>
          <w:szCs w:val="30"/>
          <w:lang w:val="en-US" w:eastAsia="zh-CN"/>
        </w:rPr>
      </w:pPr>
      <w:r>
        <w:rPr>
          <w:rFonts w:hint="eastAsia" w:ascii="仿宋" w:hAnsi="仿宋" w:eastAsia="仿宋" w:cs="仿宋"/>
          <w:sz w:val="30"/>
          <w:szCs w:val="30"/>
          <w:lang w:val="en-US" w:eastAsia="zh-CN"/>
        </w:rPr>
        <w:t>相关要求：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1、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2、以上总价应为含税全包价，包括运费、税费等一切费用，发票必须为增值税专用发票。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spacing w:line="480" w:lineRule="auto"/>
        <w:jc w:val="left"/>
        <w:rPr>
          <w:rFonts w:hint="eastAsia" w:ascii="仿宋" w:hAnsi="仿宋" w:eastAsia="仿宋" w:cs="仿宋"/>
          <w:b/>
          <w:spacing w:val="-2"/>
          <w:sz w:val="30"/>
        </w:rPr>
      </w:pPr>
      <w:bookmarkStart w:id="11" w:name="_Toc103165678"/>
      <w:bookmarkStart w:id="12" w:name="_Toc108839328"/>
      <w:r>
        <w:rPr>
          <w:rStyle w:val="19"/>
          <w:rFonts w:hint="eastAsia" w:ascii="仿宋" w:hAnsi="仿宋" w:eastAsia="仿宋" w:cs="仿宋"/>
          <w:sz w:val="30"/>
        </w:rPr>
        <w:t>附件</w:t>
      </w:r>
      <w:bookmarkEnd w:id="11"/>
      <w:bookmarkEnd w:id="12"/>
      <w:r>
        <w:rPr>
          <w:rStyle w:val="19"/>
          <w:rFonts w:hint="eastAsia" w:ascii="仿宋" w:hAnsi="仿宋" w:eastAsia="仿宋" w:cs="仿宋"/>
          <w:sz w:val="30"/>
        </w:rPr>
        <w:t>三</w:t>
      </w:r>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绿植租摆及养护项目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我公司所供产品均为正规销售渠道进货。</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.我公司所供产品如果存在任何外包装或内物破损等情况，承诺24小时内提供替换产品。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w:t>
      </w:r>
      <w:r>
        <w:rPr>
          <w:rFonts w:hint="eastAsia" w:ascii="仿宋" w:hAnsi="仿宋" w:eastAsia="仿宋" w:cs="仿宋"/>
          <w:sz w:val="30"/>
          <w:szCs w:val="30"/>
          <w:lang w:val="en-US" w:eastAsia="zh-CN"/>
        </w:rPr>
        <w:t>绿植需冠径周正，外观无残损，无病虫害等问题，且在5日内绿植成活率为80%及以上，如发现绿植死亡，需及时更换。</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CC8527C"/>
    <w:multiLevelType w:val="singleLevel"/>
    <w:tmpl w:val="4CC8527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D22213"/>
    <w:rsid w:val="02834D04"/>
    <w:rsid w:val="038D5656"/>
    <w:rsid w:val="04605697"/>
    <w:rsid w:val="05D22118"/>
    <w:rsid w:val="06057AB3"/>
    <w:rsid w:val="076328DA"/>
    <w:rsid w:val="08186607"/>
    <w:rsid w:val="083A3947"/>
    <w:rsid w:val="08F93082"/>
    <w:rsid w:val="097479E0"/>
    <w:rsid w:val="0A0C6ADD"/>
    <w:rsid w:val="0A32752C"/>
    <w:rsid w:val="0A9D29B8"/>
    <w:rsid w:val="0B2C6C02"/>
    <w:rsid w:val="0BC12699"/>
    <w:rsid w:val="0BCC31F9"/>
    <w:rsid w:val="0C5A16A4"/>
    <w:rsid w:val="0DC35837"/>
    <w:rsid w:val="0DE61498"/>
    <w:rsid w:val="110C39D4"/>
    <w:rsid w:val="1297576D"/>
    <w:rsid w:val="12BF4C87"/>
    <w:rsid w:val="12E70A09"/>
    <w:rsid w:val="15341747"/>
    <w:rsid w:val="164F6705"/>
    <w:rsid w:val="16646293"/>
    <w:rsid w:val="16FE5921"/>
    <w:rsid w:val="17B042A1"/>
    <w:rsid w:val="1A2B7D96"/>
    <w:rsid w:val="1BD33B78"/>
    <w:rsid w:val="1BEC2FB3"/>
    <w:rsid w:val="1CE262BC"/>
    <w:rsid w:val="1D6D770B"/>
    <w:rsid w:val="1E1A21EF"/>
    <w:rsid w:val="203B090D"/>
    <w:rsid w:val="21135480"/>
    <w:rsid w:val="212C3971"/>
    <w:rsid w:val="214D7086"/>
    <w:rsid w:val="21BA7E4E"/>
    <w:rsid w:val="22DF5956"/>
    <w:rsid w:val="22ED7F5E"/>
    <w:rsid w:val="24130D0C"/>
    <w:rsid w:val="259E2C64"/>
    <w:rsid w:val="26F76768"/>
    <w:rsid w:val="27AC61A6"/>
    <w:rsid w:val="27FE02E6"/>
    <w:rsid w:val="28C57566"/>
    <w:rsid w:val="29084622"/>
    <w:rsid w:val="29F704EF"/>
    <w:rsid w:val="2AC220DE"/>
    <w:rsid w:val="2ADB5E21"/>
    <w:rsid w:val="2ADF08BA"/>
    <w:rsid w:val="2B603075"/>
    <w:rsid w:val="2C305EB2"/>
    <w:rsid w:val="2CD9238D"/>
    <w:rsid w:val="2E003054"/>
    <w:rsid w:val="2EB2531B"/>
    <w:rsid w:val="2F3D045F"/>
    <w:rsid w:val="2F6F3EAC"/>
    <w:rsid w:val="2F7D3F84"/>
    <w:rsid w:val="2F844FB7"/>
    <w:rsid w:val="30256074"/>
    <w:rsid w:val="302C4175"/>
    <w:rsid w:val="31713FF6"/>
    <w:rsid w:val="32B04D2F"/>
    <w:rsid w:val="33A35EAC"/>
    <w:rsid w:val="3464504B"/>
    <w:rsid w:val="34E00D83"/>
    <w:rsid w:val="36216F0D"/>
    <w:rsid w:val="36316A75"/>
    <w:rsid w:val="36ED02B2"/>
    <w:rsid w:val="389D7311"/>
    <w:rsid w:val="398E418A"/>
    <w:rsid w:val="3997709B"/>
    <w:rsid w:val="39A55AE7"/>
    <w:rsid w:val="3A351BE0"/>
    <w:rsid w:val="3B0953A4"/>
    <w:rsid w:val="3C302F1C"/>
    <w:rsid w:val="3C8719BD"/>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F173EE"/>
    <w:rsid w:val="4C2F1B9C"/>
    <w:rsid w:val="4C870D35"/>
    <w:rsid w:val="4D2832EB"/>
    <w:rsid w:val="4DF66F25"/>
    <w:rsid w:val="4E376DB9"/>
    <w:rsid w:val="4E716394"/>
    <w:rsid w:val="4ECC39F8"/>
    <w:rsid w:val="4F0A3ECF"/>
    <w:rsid w:val="4F595384"/>
    <w:rsid w:val="4F7F3CCA"/>
    <w:rsid w:val="502844C8"/>
    <w:rsid w:val="51D845E4"/>
    <w:rsid w:val="52341DDD"/>
    <w:rsid w:val="531111FC"/>
    <w:rsid w:val="533444FB"/>
    <w:rsid w:val="55C54FE9"/>
    <w:rsid w:val="55E07717"/>
    <w:rsid w:val="56397366"/>
    <w:rsid w:val="58080247"/>
    <w:rsid w:val="5950112B"/>
    <w:rsid w:val="5A1C766A"/>
    <w:rsid w:val="5CF528AB"/>
    <w:rsid w:val="5D132301"/>
    <w:rsid w:val="612A3DEE"/>
    <w:rsid w:val="62B67083"/>
    <w:rsid w:val="649C599A"/>
    <w:rsid w:val="66B027B6"/>
    <w:rsid w:val="671A2875"/>
    <w:rsid w:val="67966EFB"/>
    <w:rsid w:val="67B628F5"/>
    <w:rsid w:val="682119CD"/>
    <w:rsid w:val="69A94E0C"/>
    <w:rsid w:val="6B656B47"/>
    <w:rsid w:val="6B7E1643"/>
    <w:rsid w:val="6C714475"/>
    <w:rsid w:val="6CDB032D"/>
    <w:rsid w:val="6DBD736C"/>
    <w:rsid w:val="6DF45A5A"/>
    <w:rsid w:val="6E5526FF"/>
    <w:rsid w:val="6F2B1820"/>
    <w:rsid w:val="707E74C2"/>
    <w:rsid w:val="710D0440"/>
    <w:rsid w:val="71C5585F"/>
    <w:rsid w:val="73A1381E"/>
    <w:rsid w:val="7459468D"/>
    <w:rsid w:val="779817DA"/>
    <w:rsid w:val="77D476E8"/>
    <w:rsid w:val="782A7918"/>
    <w:rsid w:val="7A500C84"/>
    <w:rsid w:val="7A7B08FF"/>
    <w:rsid w:val="7AE21E9E"/>
    <w:rsid w:val="7B09318D"/>
    <w:rsid w:val="7B1137A2"/>
    <w:rsid w:val="7B6004E6"/>
    <w:rsid w:val="7BE14791"/>
    <w:rsid w:val="7C4C470C"/>
    <w:rsid w:val="7CD03426"/>
    <w:rsid w:val="7DA51921"/>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19">
    <w:name w:val="标题 1 Char Char"/>
    <w:qFormat/>
    <w:uiPriority w:val="0"/>
    <w:rPr>
      <w:rFonts w:eastAsia="宋体"/>
      <w:b/>
      <w:spacing w:val="-2"/>
      <w:sz w:val="24"/>
      <w:lang w:val="en-US" w:eastAsia="zh-CN"/>
    </w:rPr>
  </w:style>
  <w:style w:type="paragraph" w:customStyle="1" w:styleId="20">
    <w:name w:val="一、标题"/>
    <w:basedOn w:val="1"/>
    <w:qFormat/>
    <w:uiPriority w:val="0"/>
    <w:rPr>
      <w:b/>
      <w:sz w:val="28"/>
    </w:rPr>
  </w:style>
  <w:style w:type="paragraph" w:styleId="21">
    <w:name w:val="List Paragraph"/>
    <w:basedOn w:val="1"/>
    <w:qFormat/>
    <w:uiPriority w:val="34"/>
    <w:pPr>
      <w:ind w:firstLine="420" w:firstLineChars="200"/>
    </w:pPr>
  </w:style>
  <w:style w:type="character" w:customStyle="1" w:styleId="22">
    <w:name w:val="页眉 Char"/>
    <w:basedOn w:val="14"/>
    <w:link w:val="9"/>
    <w:qFormat/>
    <w:uiPriority w:val="0"/>
    <w:rPr>
      <w:kern w:val="2"/>
      <w:sz w:val="18"/>
      <w:szCs w:val="18"/>
    </w:rPr>
  </w:style>
  <w:style w:type="character" w:customStyle="1" w:styleId="23">
    <w:name w:val="批注框文本 Char"/>
    <w:basedOn w:val="14"/>
    <w:link w:val="7"/>
    <w:qFormat/>
    <w:uiPriority w:val="0"/>
    <w:rPr>
      <w:kern w:val="2"/>
      <w:sz w:val="18"/>
      <w:szCs w:val="18"/>
    </w:rPr>
  </w:style>
  <w:style w:type="character" w:customStyle="1" w:styleId="24">
    <w:name w:val="font3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default" w:ascii="Times New Roman" w:hAnsi="Times New Roman" w:cs="Times New Roman"/>
      <w:color w:val="000000"/>
      <w:sz w:val="22"/>
      <w:szCs w:val="22"/>
      <w:u w:val="none"/>
    </w:rPr>
  </w:style>
  <w:style w:type="character" w:customStyle="1" w:styleId="26">
    <w:name w:val="font41"/>
    <w:basedOn w:val="14"/>
    <w:qFormat/>
    <w:uiPriority w:val="0"/>
    <w:rPr>
      <w:rFonts w:ascii="仿宋_GB2312" w:eastAsia="仿宋_GB2312" w:cs="仿宋_GB2312"/>
      <w:color w:val="000000"/>
      <w:sz w:val="22"/>
      <w:szCs w:val="22"/>
      <w:u w:val="none"/>
    </w:rPr>
  </w:style>
  <w:style w:type="character" w:customStyle="1" w:styleId="27">
    <w:name w:val="font21"/>
    <w:basedOn w:val="14"/>
    <w:qFormat/>
    <w:uiPriority w:val="0"/>
    <w:rPr>
      <w:rFonts w:hint="eastAsia" w:ascii="宋体" w:hAnsi="宋体" w:eastAsia="宋体" w:cs="宋体"/>
      <w:color w:val="000000"/>
      <w:sz w:val="22"/>
      <w:szCs w:val="22"/>
      <w:u w:val="none"/>
      <w:vertAlign w:val="superscript"/>
    </w:rPr>
  </w:style>
  <w:style w:type="character" w:customStyle="1" w:styleId="28">
    <w:name w:val="font01"/>
    <w:basedOn w:val="14"/>
    <w:qFormat/>
    <w:uiPriority w:val="0"/>
    <w:rPr>
      <w:rFonts w:hint="eastAsia" w:ascii="宋体" w:hAnsi="宋体" w:eastAsia="宋体" w:cs="宋体"/>
      <w:color w:val="000000"/>
      <w:sz w:val="22"/>
      <w:szCs w:val="22"/>
      <w:u w:val="none"/>
    </w:rPr>
  </w:style>
  <w:style w:type="character" w:customStyle="1" w:styleId="29">
    <w:name w:val="font11"/>
    <w:basedOn w:val="14"/>
    <w:qFormat/>
    <w:uiPriority w:val="0"/>
    <w:rPr>
      <w:rFonts w:hint="eastAsia" w:ascii="宋体" w:hAnsi="宋体" w:eastAsia="宋体" w:cs="宋体"/>
      <w:color w:val="000000"/>
      <w:sz w:val="24"/>
      <w:szCs w:val="24"/>
      <w:u w:val="none"/>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font81"/>
    <w:basedOn w:val="14"/>
    <w:qFormat/>
    <w:uiPriority w:val="0"/>
    <w:rPr>
      <w:rFonts w:ascii="宋体" w:hAnsi="宋体" w:eastAsia="宋体" w:cs="宋体"/>
      <w:color w:val="000000"/>
      <w:sz w:val="20"/>
      <w:szCs w:val="20"/>
      <w:u w:val="none"/>
    </w:rPr>
  </w:style>
  <w:style w:type="character" w:customStyle="1" w:styleId="32">
    <w:name w:val="font71"/>
    <w:basedOn w:val="1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5913</Words>
  <Characters>6552</Characters>
  <Lines>53</Lines>
  <Paragraphs>15</Paragraphs>
  <TotalTime>0</TotalTime>
  <ScaleCrop>false</ScaleCrop>
  <LinksUpToDate>false</LinksUpToDate>
  <CharactersWithSpaces>6740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茹佩</cp:lastModifiedBy>
  <cp:lastPrinted>2021-06-17T01:09:00Z</cp:lastPrinted>
  <dcterms:modified xsi:type="dcterms:W3CDTF">2023-04-13T03:26:23Z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07DEC81FD3E8410C8FC7D2A5303090D3</vt:lpwstr>
  </property>
</Properties>
</file>