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反渗透膜采购项目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SX-CG-FS-2402006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反渗透膜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6995"/>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反渗透膜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SX-CG-FS-2402006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4"/>
        <w:tblW w:w="4990" w:type="pct"/>
        <w:jc w:val="center"/>
        <w:tblLayout w:type="autofit"/>
        <w:tblCellMar>
          <w:top w:w="0" w:type="dxa"/>
          <w:left w:w="108" w:type="dxa"/>
          <w:bottom w:w="0" w:type="dxa"/>
          <w:right w:w="108" w:type="dxa"/>
        </w:tblCellMar>
      </w:tblPr>
      <w:tblGrid>
        <w:gridCol w:w="815"/>
        <w:gridCol w:w="1454"/>
        <w:gridCol w:w="3273"/>
        <w:gridCol w:w="836"/>
        <w:gridCol w:w="1005"/>
        <w:gridCol w:w="1884"/>
      </w:tblGrid>
      <w:tr>
        <w:tblPrEx>
          <w:tblCellMar>
            <w:top w:w="0" w:type="dxa"/>
            <w:left w:w="108" w:type="dxa"/>
            <w:bottom w:w="0" w:type="dxa"/>
            <w:right w:w="108" w:type="dxa"/>
          </w:tblCellMar>
        </w:tblPrEx>
        <w:trPr>
          <w:trHeight w:val="90"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0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反渗透膜</w:t>
            </w:r>
          </w:p>
        </w:tc>
        <w:tc>
          <w:tcPr>
            <w:tcW w:w="17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陶氏抗污染，BW30/FR-400/34</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102</w:t>
            </w: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4050.00元/根</w:t>
            </w:r>
          </w:p>
        </w:tc>
      </w:tr>
    </w:tbl>
    <w:p>
      <w:pPr>
        <w:pStyle w:val="1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3.</w:t>
      </w:r>
      <w:r>
        <w:rPr>
          <w:rFonts w:hint="eastAsia" w:ascii="仿宋" w:hAnsi="仿宋" w:eastAsia="仿宋" w:cs="仿宋"/>
          <w:sz w:val="30"/>
          <w:szCs w:val="30"/>
          <w:lang w:val="en-US" w:eastAsia="zh-CN"/>
        </w:rPr>
        <w:t>技术参数：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default" w:ascii="仿宋" w:hAnsi="仿宋" w:eastAsia="仿宋" w:cs="仿宋"/>
          <w:sz w:val="30"/>
          <w:szCs w:val="30"/>
          <w:lang w:val="en-US" w:eastAsia="zh-CN"/>
        </w:rPr>
        <w:t>抗污染苦咸水反渗透膜元件</w:t>
      </w:r>
      <w:r>
        <w:rPr>
          <w:rFonts w:hint="eastAsia" w:ascii="仿宋" w:hAnsi="仿宋" w:eastAsia="仿宋" w:cs="仿宋"/>
          <w:sz w:val="30"/>
          <w:szCs w:val="30"/>
          <w:lang w:val="en-US" w:eastAsia="zh-CN"/>
        </w:rPr>
        <w:t>：一款适用于处理高污染水源、同时具有抗污染性、高脱盐率和高产水量的抗污染膜元件。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·基于其业界最宽的pH耐受范围(1-13)和高化学耐受性， 可实现最有效的清洗性能、稳定性和耐久性。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34ml 的进水流道，降低了膜元件被污堵的几率，并明显提 高了膜元件的清洗效果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·全自动精密制造技术，可以使膜叶更短，数量更多，减少 污染带来的综合影响，并最大化膜的使用效率。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产品规格：</w:t>
      </w:r>
    </w:p>
    <w:tbl>
      <w:tblPr>
        <w:tblStyle w:val="37"/>
        <w:tblW w:w="9921" w:type="dxa"/>
        <w:tblInd w:w="1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236"/>
        <w:gridCol w:w="1100"/>
        <w:gridCol w:w="1885"/>
        <w:gridCol w:w="1055"/>
        <w:gridCol w:w="1170"/>
        <w:gridCol w:w="1600"/>
        <w:gridCol w:w="187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2" w:hRule="atLeast"/>
        </w:trPr>
        <w:tc>
          <w:tcPr>
            <w:tcW w:w="2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有效面积</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进水格网厚度</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产水量</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稳定脱盐率</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最低脱盐率</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2"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(ft2)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(m²）</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(mil)</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(GPD)</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(m³/d)</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10,500</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99.5</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99.0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产水量和脱盐率(NaCI)基于以下标准测试条件：2000 ppm NaC,225 psi(15.5 bar),77F(25°C).pH8,15%回收率。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（2）.单支元件的产水量可能在±15%的范围内变化。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（3）.稳定脱盐率通常在连续运行24-48小时内到达，取决于进水特点和操作条件。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（4）.产品销售规范可能会随设计改进稍有变化。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（5）.保证有效面积±3%。杜邦水处理解决方案采用的有效膜面积不同于有些膜供应商常采用的公称膜面积。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操</w:t>
      </w:r>
      <w:r>
        <w:rPr>
          <w:rFonts w:hint="eastAsia" w:ascii="仿宋" w:hAnsi="仿宋" w:eastAsia="仿宋" w:cs="仿宋"/>
          <w:sz w:val="30"/>
          <w:szCs w:val="30"/>
          <w:lang w:val="en-US" w:eastAsia="zh-CN"/>
        </w:rPr>
        <w:t>作和清洗限值：</w:t>
      </w:r>
    </w:p>
    <w:tbl>
      <w:tblPr>
        <w:tblStyle w:val="37"/>
        <w:tblW w:w="9598" w:type="dxa"/>
        <w:tblInd w:w="8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958"/>
        <w:gridCol w:w="2670"/>
        <w:gridCol w:w="29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2" w:hRule="atLeast"/>
        </w:trPr>
        <w:tc>
          <w:tcPr>
            <w:tcW w:w="959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最高操作温度                          113°F(45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9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最高操作压力</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600psi(41bar)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最高压降</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15psi(1 .0bar)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30"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pH值范围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连续运行a</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短期清洗(30分钟)b</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1-13</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最高进水淤泥密度指数SDI</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游离氯耐受量</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&lt;0.1ppm  </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注：在pH值高于10条件下连续运行的最高温度为95F(35℃)</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肆拾壹万叁仟壹佰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3月27</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3月20</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3"/>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5"/>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15个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送货时，供货商需提供该批次产品相对应的报关单。供货完成后，供货方</w:t>
      </w:r>
      <w:r>
        <w:rPr>
          <w:rFonts w:hint="eastAsia" w:ascii="仿宋" w:hAnsi="仿宋" w:eastAsia="仿宋" w:cs="仿宋"/>
          <w:color w:val="auto"/>
          <w:kern w:val="2"/>
          <w:sz w:val="30"/>
          <w:szCs w:val="30"/>
        </w:rPr>
        <w:t>提供经双方确认的送货清单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增值税专用发票</w:t>
      </w:r>
      <w:r>
        <w:rPr>
          <w:rFonts w:hint="eastAsia" w:ascii="仿宋" w:hAnsi="仿宋" w:eastAsia="仿宋" w:cs="仿宋"/>
          <w:color w:val="auto"/>
          <w:kern w:val="2"/>
          <w:sz w:val="30"/>
          <w:szCs w:val="30"/>
          <w:lang w:val="en-US" w:eastAsia="zh-CN"/>
        </w:rPr>
        <w:t>等相应票据</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w:t>
      </w:r>
      <w:r>
        <w:rPr>
          <w:rFonts w:hint="eastAsia" w:ascii="仿宋" w:hAnsi="仿宋" w:eastAsia="仿宋" w:cs="仿宋"/>
          <w:color w:val="auto"/>
          <w:kern w:val="2"/>
          <w:sz w:val="30"/>
          <w:szCs w:val="30"/>
          <w:lang w:val="en-US" w:eastAsia="zh-CN"/>
        </w:rPr>
        <w:t>两</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3"/>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4"/>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r>
        <w:rPr>
          <w:rFonts w:hint="default" w:ascii="方正仿宋_GBK" w:hAnsi="方正仿宋_GBK" w:eastAsia="方正仿宋_GBK" w:cs="方正仿宋_GBK"/>
          <w:sz w:val="28"/>
          <w:szCs w:val="28"/>
          <w:lang w:val="en-US" w:eastAsia="zh-CN"/>
        </w:rPr>
        <w:t>抗污染苦咸水反渗透膜元件</w:t>
      </w:r>
      <w:r>
        <w:rPr>
          <w:rFonts w:hint="eastAsia" w:ascii="方正仿宋_GBK" w:hAnsi="方正仿宋_GBK" w:eastAsia="方正仿宋_GBK" w:cs="方正仿宋_GBK"/>
          <w:sz w:val="28"/>
          <w:szCs w:val="28"/>
          <w:lang w:val="en-US" w:eastAsia="zh-CN"/>
        </w:rPr>
        <w:t>：一款适用于处理高污染水源、同时具有抗污染性、高脱盐率和高产水量的抗污染膜元件。</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·基于其业界最宽的pH耐受范围(1-13)和高化学耐受性， 可实现最有效的清洗性能、稳定性和耐久性。</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34ml 的进水流道，降低了膜元件被污堵的几率，并明显提 高了膜元件的清洗效果</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·全自动精密制造技术，可以使膜叶更短，数量更多，减少 污染带来的综合影响，并最大化膜的使用效率。</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产品规格：</w:t>
      </w:r>
    </w:p>
    <w:tbl>
      <w:tblPr>
        <w:tblStyle w:val="37"/>
        <w:tblW w:w="9921" w:type="dxa"/>
        <w:tblInd w:w="1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236"/>
        <w:gridCol w:w="1100"/>
        <w:gridCol w:w="1885"/>
        <w:gridCol w:w="1055"/>
        <w:gridCol w:w="1170"/>
        <w:gridCol w:w="1600"/>
        <w:gridCol w:w="187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2" w:hRule="atLeast"/>
        </w:trPr>
        <w:tc>
          <w:tcPr>
            <w:tcW w:w="2336" w:type="dxa"/>
            <w:gridSpan w:val="2"/>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有效面积</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进水格网厚度</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产水量</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稳定脱盐率</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最低脱盐率</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2"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(ft2)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(m²）</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(mil)</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(GPD)</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(m³/d)</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37</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34</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10,500</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99.5</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99.0</w:t>
            </w:r>
          </w:p>
        </w:tc>
      </w:tr>
    </w:tbl>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注：</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产水量和脱盐率(NaCI)基于以下标准测试条件：2000 ppm NaC,225 psi(15.5 bar),77F(25°C).pH8,15%回收率。</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2.单支元件的产水量可能在±15%的范围内变化。</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3.稳定脱盐率通常在连续运行24-48小时内到达，取决于进水特点和操作条件。</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4.产品销售规范可能会随设计改进稍有变化。</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5.保证有效面积±3%。杜邦水处理解决方案采用的有效膜面积不同于有些膜供应商常采用的公称膜面积。</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default" w:ascii="方正仿宋_GBK" w:hAnsi="方正仿宋_GBK" w:eastAsia="方正仿宋_GBK" w:cs="方正仿宋_GBK"/>
          <w:sz w:val="28"/>
          <w:szCs w:val="28"/>
          <w:lang w:val="en-US" w:eastAsia="zh-CN"/>
        </w:rPr>
        <w:t>操</w:t>
      </w:r>
      <w:r>
        <w:rPr>
          <w:rFonts w:hint="eastAsia" w:ascii="方正仿宋_GBK" w:hAnsi="方正仿宋_GBK" w:eastAsia="方正仿宋_GBK" w:cs="方正仿宋_GBK"/>
          <w:sz w:val="28"/>
          <w:szCs w:val="28"/>
          <w:lang w:val="en-US" w:eastAsia="zh-CN"/>
        </w:rPr>
        <w:t>作和清洗限值：</w:t>
      </w:r>
    </w:p>
    <w:tbl>
      <w:tblPr>
        <w:tblStyle w:val="37"/>
        <w:tblW w:w="9598" w:type="dxa"/>
        <w:tblInd w:w="8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958"/>
        <w:gridCol w:w="2670"/>
        <w:gridCol w:w="29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2" w:hRule="atLeast"/>
        </w:trPr>
        <w:tc>
          <w:tcPr>
            <w:tcW w:w="9598" w:type="dxa"/>
            <w:gridSpan w:val="3"/>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最高操作温度                          113°F(45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9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最高操作压力</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600psi(41bar)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最高压降</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15psi(1 .0bar)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30"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pH值范围</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连续运行a</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短期清洗(30分钟)b</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2-11</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1-13</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最高进水淤泥密度指数SDI</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游离氯耐受量</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&lt;0.1ppm  </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bl>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注：在pH值高于10条件下连续运行的最高温度为95F(35℃)</w:t>
      </w:r>
      <w:r>
        <w:rPr>
          <w:rFonts w:hint="eastAsia" w:ascii="方正仿宋_GBK" w:hAnsi="方正仿宋_GBK" w:eastAsia="方正仿宋_GBK" w:cs="方正仿宋_GBK"/>
          <w:sz w:val="28"/>
          <w:szCs w:val="28"/>
        </w:rPr>
        <w:t>。</w:t>
      </w:r>
    </w:p>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5"/>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送货时，供货商需提供该批次产品相对应的报关单。供货完成后，供货方</w:t>
      </w:r>
      <w:r>
        <w:rPr>
          <w:rFonts w:hint="eastAsia" w:ascii="仿宋" w:hAnsi="仿宋" w:eastAsia="仿宋" w:cs="仿宋"/>
          <w:color w:val="auto"/>
          <w:kern w:val="2"/>
          <w:sz w:val="30"/>
          <w:szCs w:val="30"/>
        </w:rPr>
        <w:t>提供经双方确认的送货清单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增值税专用发票</w:t>
      </w:r>
      <w:r>
        <w:rPr>
          <w:rFonts w:hint="eastAsia" w:ascii="仿宋" w:hAnsi="仿宋" w:eastAsia="仿宋" w:cs="仿宋"/>
          <w:color w:val="auto"/>
          <w:kern w:val="2"/>
          <w:sz w:val="30"/>
          <w:szCs w:val="30"/>
          <w:lang w:val="en-US" w:eastAsia="zh-CN"/>
        </w:rPr>
        <w:t>等相应票据</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w:t>
      </w:r>
      <w:r>
        <w:rPr>
          <w:rFonts w:hint="eastAsia" w:ascii="仿宋" w:hAnsi="仿宋" w:eastAsia="仿宋" w:cs="仿宋"/>
          <w:color w:val="auto"/>
          <w:kern w:val="2"/>
          <w:sz w:val="30"/>
          <w:szCs w:val="30"/>
          <w:lang w:val="en-US" w:eastAsia="zh-CN"/>
        </w:rPr>
        <w:t>两</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5"/>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5"/>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5"/>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5"/>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5"/>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5"/>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5"/>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3"/>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1"/>
          <w:rFonts w:hint="eastAsia" w:ascii="仿宋" w:hAnsi="仿宋" w:eastAsia="仿宋" w:cs="仿宋"/>
          <w:sz w:val="30"/>
        </w:rPr>
      </w:pPr>
      <w:bookmarkStart w:id="15" w:name="_Toc22901"/>
      <w:r>
        <w:rPr>
          <w:rStyle w:val="21"/>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反渗透膜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SX-CG-FS-2402006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1"/>
          <w:rFonts w:hint="eastAsia" w:ascii="仿宋" w:hAnsi="仿宋" w:eastAsia="仿宋" w:cs="仿宋"/>
          <w:sz w:val="30"/>
        </w:rPr>
        <w:br w:type="page"/>
      </w:r>
    </w:p>
    <w:p>
      <w:pPr>
        <w:adjustRightInd w:val="0"/>
        <w:snapToGrid w:val="0"/>
        <w:spacing w:line="360" w:lineRule="auto"/>
        <w:ind w:right="480"/>
        <w:jc w:val="left"/>
        <w:rPr>
          <w:rStyle w:val="21"/>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1"/>
          <w:rFonts w:hint="eastAsia" w:ascii="仿宋" w:hAnsi="仿宋" w:eastAsia="仿宋" w:cs="仿宋"/>
          <w:sz w:val="30"/>
        </w:rPr>
      </w:pPr>
      <w:bookmarkStart w:id="16" w:name="_Toc20355"/>
      <w:r>
        <w:rPr>
          <w:rStyle w:val="21"/>
          <w:rFonts w:hint="eastAsia" w:ascii="仿宋" w:hAnsi="仿宋" w:eastAsia="仿宋" w:cs="仿宋"/>
          <w:sz w:val="30"/>
        </w:rPr>
        <w:t>附件二</w:t>
      </w:r>
      <w:bookmarkEnd w:id="16"/>
      <w:r>
        <w:rPr>
          <w:rStyle w:val="21"/>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绍兴市再生能源发展有限公司反渗透膜采购</w:t>
      </w:r>
      <w:r>
        <w:rPr>
          <w:rFonts w:hint="eastAsia" w:ascii="仿宋" w:hAnsi="仿宋" w:eastAsia="仿宋" w:cs="仿宋"/>
          <w:sz w:val="30"/>
          <w:szCs w:val="30"/>
          <w:u w:val="none"/>
          <w:lang w:val="en-US" w:eastAsia="zh-CN"/>
        </w:rPr>
        <w:t>项目。</w:t>
      </w:r>
    </w:p>
    <w:tbl>
      <w:tblPr>
        <w:tblStyle w:val="14"/>
        <w:tblW w:w="5268" w:type="pct"/>
        <w:jc w:val="center"/>
        <w:tblLayout w:type="fixed"/>
        <w:tblCellMar>
          <w:top w:w="0" w:type="dxa"/>
          <w:left w:w="108" w:type="dxa"/>
          <w:bottom w:w="0" w:type="dxa"/>
          <w:right w:w="108" w:type="dxa"/>
        </w:tblCellMar>
      </w:tblPr>
      <w:tblGrid>
        <w:gridCol w:w="696"/>
        <w:gridCol w:w="1383"/>
        <w:gridCol w:w="2612"/>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反渗透膜</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陶氏抗污染，BW30/FR-400/34</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102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4050.00元/根</w:t>
            </w:r>
          </w:p>
        </w:tc>
      </w:tr>
    </w:tbl>
    <w:p>
      <w:pPr>
        <w:pStyle w:val="12"/>
        <w:rPr>
          <w:rFonts w:hint="eastAsia"/>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送货时，供货商需提供该批次产品相对应的报关单。供货完成后，供货方</w:t>
      </w:r>
      <w:r>
        <w:rPr>
          <w:rFonts w:hint="eastAsia" w:ascii="仿宋" w:hAnsi="仿宋" w:eastAsia="仿宋" w:cs="仿宋"/>
          <w:color w:val="auto"/>
          <w:kern w:val="2"/>
          <w:sz w:val="30"/>
          <w:szCs w:val="30"/>
        </w:rPr>
        <w:t>提供经双方确认的送货清单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增值税专用发票</w:t>
      </w:r>
      <w:r>
        <w:rPr>
          <w:rFonts w:hint="eastAsia" w:ascii="仿宋" w:hAnsi="仿宋" w:eastAsia="仿宋" w:cs="仿宋"/>
          <w:color w:val="auto"/>
          <w:kern w:val="2"/>
          <w:sz w:val="30"/>
          <w:szCs w:val="30"/>
          <w:lang w:val="en-US" w:eastAsia="zh-CN"/>
        </w:rPr>
        <w:t>等相应票据</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w:t>
      </w:r>
      <w:r>
        <w:rPr>
          <w:rFonts w:hint="eastAsia" w:ascii="仿宋" w:hAnsi="仿宋" w:eastAsia="仿宋" w:cs="仿宋"/>
          <w:color w:val="auto"/>
          <w:kern w:val="2"/>
          <w:sz w:val="30"/>
          <w:szCs w:val="30"/>
          <w:lang w:val="en-US" w:eastAsia="zh-CN"/>
        </w:rPr>
        <w:t>两</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肆拾壹万叁仟壹佰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该采购项目履约保证金为合同价的10%。中标人于合同签订前将履约保证金打入招标人指定账户。合同履行完成后，履约保证金转为质保金。质保期满后，招标人退还质保金（无息）。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1"/>
          <w:rFonts w:hint="eastAsia" w:ascii="仿宋" w:hAnsi="仿宋" w:eastAsia="仿宋" w:cs="仿宋"/>
          <w:sz w:val="30"/>
        </w:rPr>
        <w:t>附件</w:t>
      </w:r>
      <w:bookmarkEnd w:id="17"/>
      <w:bookmarkEnd w:id="18"/>
      <w:r>
        <w:rPr>
          <w:rStyle w:val="21"/>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反渗透膜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在供货时能够提供该批次产品的进口报关单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4F13185"/>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A42822"/>
    <w:rsid w:val="12BF4C87"/>
    <w:rsid w:val="12E70A09"/>
    <w:rsid w:val="15341747"/>
    <w:rsid w:val="164F6705"/>
    <w:rsid w:val="16646293"/>
    <w:rsid w:val="16FE5921"/>
    <w:rsid w:val="17B042A1"/>
    <w:rsid w:val="1A2B7D96"/>
    <w:rsid w:val="1BD33B78"/>
    <w:rsid w:val="1BEC2FB3"/>
    <w:rsid w:val="1CE262BC"/>
    <w:rsid w:val="1D6D770B"/>
    <w:rsid w:val="1E1A21EF"/>
    <w:rsid w:val="1EC342AD"/>
    <w:rsid w:val="203B090D"/>
    <w:rsid w:val="21135480"/>
    <w:rsid w:val="212C3971"/>
    <w:rsid w:val="214D7086"/>
    <w:rsid w:val="21BA7E4E"/>
    <w:rsid w:val="224A0396"/>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2B6EF2"/>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2A48E5"/>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6"/>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2">
    <w:name w:val="heading 2"/>
    <w:basedOn w:val="1"/>
    <w:next w:val="1"/>
    <w:autoRedefine/>
    <w:qFormat/>
    <w:uiPriority w:val="0"/>
    <w:pPr>
      <w:keepNext/>
      <w:keepLines/>
      <w:tabs>
        <w:tab w:val="left" w:pos="420"/>
        <w:tab w:val="left" w:pos="1145"/>
      </w:tabs>
      <w:spacing w:before="260" w:after="260" w:line="416" w:lineRule="auto"/>
      <w:ind w:left="992" w:hanging="567"/>
      <w:outlineLvl w:val="1"/>
    </w:pPr>
    <w:rPr>
      <w:rFonts w:ascii="Arial" w:hAnsi="Arial" w:eastAsia="黑体"/>
      <w:b/>
      <w:sz w:val="32"/>
      <w:szCs w:val="20"/>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1"/>
    <w:autoRedefine/>
    <w:qFormat/>
    <w:uiPriority w:val="1"/>
    <w:pPr>
      <w:spacing w:after="120" w:afterLines="0"/>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5"/>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5"/>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13">
    <w:name w:val="Body Text First Indent 2"/>
    <w:basedOn w:val="6"/>
    <w:autoRedefine/>
    <w:qFormat/>
    <w:uiPriority w:val="0"/>
    <w:pPr>
      <w:ind w:firstLine="420" w:firstLineChars="2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autoRedefine/>
    <w:qFormat/>
    <w:uiPriority w:val="0"/>
  </w:style>
  <w:style w:type="character" w:styleId="18">
    <w:name w:val="Hyperlink"/>
    <w:autoRedefine/>
    <w:qFormat/>
    <w:uiPriority w:val="99"/>
    <w:rPr>
      <w:color w:val="0000FF"/>
      <w:u w:val="single"/>
    </w:rPr>
  </w:style>
  <w:style w:type="character" w:styleId="19">
    <w:name w:val="annotation reference"/>
    <w:basedOn w:val="16"/>
    <w:autoRedefine/>
    <w:qFormat/>
    <w:uiPriority w:val="0"/>
    <w:rPr>
      <w:sz w:val="21"/>
      <w:szCs w:val="21"/>
    </w:rPr>
  </w:style>
  <w:style w:type="paragraph" w:customStyle="1" w:styleId="20">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autoRedefine/>
    <w:qFormat/>
    <w:uiPriority w:val="0"/>
    <w:rPr>
      <w:rFonts w:eastAsia="宋体"/>
      <w:b/>
      <w:spacing w:val="-2"/>
      <w:sz w:val="24"/>
      <w:lang w:val="en-US" w:eastAsia="zh-CN"/>
    </w:rPr>
  </w:style>
  <w:style w:type="paragraph" w:customStyle="1" w:styleId="22">
    <w:name w:val="一、标题"/>
    <w:basedOn w:val="1"/>
    <w:autoRedefine/>
    <w:qFormat/>
    <w:uiPriority w:val="0"/>
    <w:rPr>
      <w:b/>
      <w:sz w:val="28"/>
    </w:rPr>
  </w:style>
  <w:style w:type="paragraph" w:styleId="23">
    <w:name w:val="List Paragraph"/>
    <w:basedOn w:val="1"/>
    <w:autoRedefine/>
    <w:qFormat/>
    <w:uiPriority w:val="34"/>
    <w:pPr>
      <w:ind w:firstLine="420" w:firstLineChars="200"/>
    </w:pPr>
  </w:style>
  <w:style w:type="character" w:customStyle="1" w:styleId="24">
    <w:name w:val="页眉 Char"/>
    <w:basedOn w:val="16"/>
    <w:link w:val="9"/>
    <w:autoRedefine/>
    <w:qFormat/>
    <w:uiPriority w:val="0"/>
    <w:rPr>
      <w:kern w:val="2"/>
      <w:sz w:val="18"/>
      <w:szCs w:val="18"/>
    </w:rPr>
  </w:style>
  <w:style w:type="character" w:customStyle="1" w:styleId="25">
    <w:name w:val="批注框文本 Char"/>
    <w:basedOn w:val="16"/>
    <w:link w:val="7"/>
    <w:autoRedefine/>
    <w:qFormat/>
    <w:uiPriority w:val="0"/>
    <w:rPr>
      <w:kern w:val="2"/>
      <w:sz w:val="18"/>
      <w:szCs w:val="18"/>
    </w:rPr>
  </w:style>
  <w:style w:type="character" w:customStyle="1" w:styleId="26">
    <w:name w:val="font31"/>
    <w:basedOn w:val="16"/>
    <w:autoRedefine/>
    <w:qFormat/>
    <w:uiPriority w:val="0"/>
    <w:rPr>
      <w:rFonts w:hint="eastAsia" w:ascii="宋体" w:hAnsi="宋体" w:eastAsia="宋体" w:cs="宋体"/>
      <w:color w:val="000000"/>
      <w:sz w:val="22"/>
      <w:szCs w:val="22"/>
      <w:u w:val="none"/>
    </w:rPr>
  </w:style>
  <w:style w:type="character" w:customStyle="1" w:styleId="27">
    <w:name w:val="font51"/>
    <w:basedOn w:val="16"/>
    <w:autoRedefine/>
    <w:qFormat/>
    <w:uiPriority w:val="0"/>
    <w:rPr>
      <w:rFonts w:hint="default" w:ascii="Times New Roman" w:hAnsi="Times New Roman" w:cs="Times New Roman"/>
      <w:color w:val="000000"/>
      <w:sz w:val="22"/>
      <w:szCs w:val="22"/>
      <w:u w:val="none"/>
    </w:rPr>
  </w:style>
  <w:style w:type="character" w:customStyle="1" w:styleId="28">
    <w:name w:val="font41"/>
    <w:basedOn w:val="16"/>
    <w:autoRedefine/>
    <w:qFormat/>
    <w:uiPriority w:val="0"/>
    <w:rPr>
      <w:rFonts w:ascii="仿宋_GB2312" w:eastAsia="仿宋_GB2312" w:cs="仿宋_GB2312"/>
      <w:color w:val="000000"/>
      <w:sz w:val="22"/>
      <w:szCs w:val="22"/>
      <w:u w:val="none"/>
    </w:rPr>
  </w:style>
  <w:style w:type="character" w:customStyle="1" w:styleId="29">
    <w:name w:val="font21"/>
    <w:basedOn w:val="16"/>
    <w:autoRedefine/>
    <w:qFormat/>
    <w:uiPriority w:val="0"/>
    <w:rPr>
      <w:rFonts w:hint="eastAsia" w:ascii="宋体" w:hAnsi="宋体" w:eastAsia="宋体" w:cs="宋体"/>
      <w:color w:val="000000"/>
      <w:sz w:val="22"/>
      <w:szCs w:val="22"/>
      <w:u w:val="none"/>
      <w:vertAlign w:val="superscript"/>
    </w:rPr>
  </w:style>
  <w:style w:type="character" w:customStyle="1" w:styleId="30">
    <w:name w:val="font01"/>
    <w:basedOn w:val="16"/>
    <w:autoRedefine/>
    <w:qFormat/>
    <w:uiPriority w:val="0"/>
    <w:rPr>
      <w:rFonts w:hint="eastAsia" w:ascii="宋体" w:hAnsi="宋体" w:eastAsia="宋体" w:cs="宋体"/>
      <w:color w:val="000000"/>
      <w:sz w:val="22"/>
      <w:szCs w:val="22"/>
      <w:u w:val="none"/>
    </w:rPr>
  </w:style>
  <w:style w:type="character" w:customStyle="1" w:styleId="31">
    <w:name w:val="font11"/>
    <w:basedOn w:val="16"/>
    <w:autoRedefine/>
    <w:qFormat/>
    <w:uiPriority w:val="0"/>
    <w:rPr>
      <w:rFonts w:hint="eastAsia" w:ascii="宋体" w:hAnsi="宋体" w:eastAsia="宋体" w:cs="宋体"/>
      <w:color w:val="000000"/>
      <w:sz w:val="24"/>
      <w:szCs w:val="24"/>
      <w:u w:val="none"/>
    </w:rPr>
  </w:style>
  <w:style w:type="paragraph" w:customStyle="1" w:styleId="32">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3">
    <w:name w:val="font81"/>
    <w:basedOn w:val="16"/>
    <w:autoRedefine/>
    <w:qFormat/>
    <w:uiPriority w:val="0"/>
    <w:rPr>
      <w:rFonts w:ascii="宋体" w:hAnsi="宋体" w:eastAsia="宋体" w:cs="宋体"/>
      <w:color w:val="000000"/>
      <w:sz w:val="20"/>
      <w:szCs w:val="20"/>
      <w:u w:val="none"/>
    </w:rPr>
  </w:style>
  <w:style w:type="character" w:customStyle="1" w:styleId="34">
    <w:name w:val="font71"/>
    <w:basedOn w:val="16"/>
    <w:autoRedefine/>
    <w:qFormat/>
    <w:uiPriority w:val="0"/>
    <w:rPr>
      <w:rFonts w:hint="eastAsia" w:ascii="仿宋" w:hAnsi="仿宋" w:eastAsia="仿宋" w:cs="仿宋"/>
      <w:color w:val="000000"/>
      <w:sz w:val="22"/>
      <w:szCs w:val="22"/>
      <w:u w:val="none"/>
    </w:rPr>
  </w:style>
  <w:style w:type="paragraph" w:customStyle="1" w:styleId="35">
    <w:name w:val="样式1"/>
    <w:basedOn w:val="1"/>
    <w:autoRedefine/>
    <w:qFormat/>
    <w:uiPriority w:val="0"/>
    <w:pPr>
      <w:spacing w:line="240" w:lineRule="exact"/>
    </w:pPr>
    <w:rPr>
      <w:rFonts w:ascii="宋体" w:hAnsi="宋体" w:eastAsia="宋体"/>
      <w:sz w:val="24"/>
      <w:szCs w:val="24"/>
    </w:rPr>
  </w:style>
  <w:style w:type="character" w:customStyle="1" w:styleId="36">
    <w:name w:val="标题 1 Char"/>
    <w:link w:val="3"/>
    <w:autoRedefine/>
    <w:qFormat/>
    <w:uiPriority w:val="0"/>
    <w:rPr>
      <w:rFonts w:ascii="宋体" w:hAnsi="Arial" w:eastAsia="黑体"/>
      <w:b/>
      <w:color w:val="000000"/>
      <w:kern w:val="44"/>
      <w:sz w:val="36"/>
    </w:rPr>
  </w:style>
  <w:style w:type="table" w:customStyle="1" w:styleId="3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2024-03-20T02:45:18Z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07DEC81FD3E8410C8FC7D2A5303090D3</vt:lpwstr>
  </property>
</Properties>
</file>