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1"/>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CEMS氧化锆及粉尘仪技改项目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SX-CG-FW-2401027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CEMS氧化锆及粉尘仪技改项目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9"/>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8</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rPr>
        <w:t>错误！未定义书签。</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13</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13</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14</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对我公司cems氧化锆及粉尘仪进行技术改造</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SX-CG-FW-2401027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在3台炉的烟气检测平台各安装一支管道式氧化锆，直接检测水平烟道氧气浓度，原机柜内氧化锆不拆除，机柜内PLC新增一块模拟量模块，新增的氧化锆信号接到模块上，并对PLC程序进行修改将新增氧化锆信号替换原有信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我公司需新增氧化锆探头：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质保周期：1年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探头安装方式：直插式 耐烟气温度&lt;700°C</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技术规格：测量范围：0~20.6% O2</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基本误差：&lt;满量程的±1%</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重复性：&lt;满量程的±0.5%</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稳定性：&lt;满量程的±1%（24小时内）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响应时间：从通标气起，5秒内达到氧气90%的响应</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电流输出：4~20mA，负载电阻≤500Ω，隔离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电源电压：220VAC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功率：小于150W</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插入长度：1000mm</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氧转换器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规格型号：壁挂型 安装孔距270*170</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电源电压：220VAC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将原粉尘仪内老主板更换为新主板，粉尘状态信号通过modbus 485方式与PLC通讯。PLC根据状态信号判断粉尘仪状态并输出状态信号。粉尘仪浓度输出采用原电流信号不变，校验时要有相应浓度输出。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3.工作量：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（1）、水平烟道烟气温度前一米处开∅80取样孔，安装氧化锆取样法兰，并安装氧化锆。供电电源取自水平烟道供电箱，信号线使用伴热管桥架，并放置到机柜内；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（2）、机柜内新增模拟量模块，PLC程序进行修改，将新氧化锆信号添加到程序内，PLC及MCS100FT调用了旧氧化锆信号程序进行修改；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（3）、新氧化锆比对验收。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（4）、更换粉尘仪主板，放置通讯线至机柜；</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（5）、机柜内新增485隔离栅， PLC及MCS100FT程序进行修改，CEMS电脑与DCS及数采仪通讯进行改造，将粉尘仪校准信号发送至相应设备；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4.相关技术要求：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（1）、氧化锆安装符合HJ+75-2017+固定污染源烟气（SO2、NOX、颗粒物）排放连续监测技术规范；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（2）、氧气数据符合HJ 76-2017 固定污染源烟气（SO2、NOX、颗粒物）排放连续监测系统技术要求及检测方法。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（3）、粉尘仪安装符合HJ+75-2017+固定污染源烟气（SO2、NOX、颗粒物）排放连续监测技术规范；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（4）、粉尘仪数据符合HJ 76-2017 固定污染源烟气（SO2、NOX、颗粒物）排放连续监测系统技术要求及检测方法。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新增氧化锆推荐品牌为：北京英博、abb、博世或同等档次及以上的品牌。供货方应按照合同及合同附件约定及适用法律规定，采购工程设备、材料、成品和半成品、备品备件、专用工具等合同工程所需全部货物。设备选型、供应商须经采购方确认，如供货方选择“或同档次及以上”的品牌/厂家，则供货方应同时提供该项产品相当于采购方推荐品牌/厂家的证明材料，如供货方未能证明，采购方有权在推荐品牌/厂家中任选其一，供货方不得提出异议并不发生费用变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叁拾万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3月27</w:t>
      </w:r>
      <w:bookmarkStart w:id="19" w:name="_GoBack"/>
      <w:bookmarkEnd w:id="19"/>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 xml:space="preserve"> 3月25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2"/>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pStyle w:val="11"/>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val="en-US" w:eastAsia="zh-CN"/>
        </w:rPr>
        <w:t>并完成安装服务</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项目完成且通过验收后，采购人出具相应验收单，中标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2"/>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2"/>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CEMS氧化锆及粉尘仪技改</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SX-CG-FW-2401027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 w:val="0"/>
          <w:bCs w:val="0"/>
          <w:color w:val="auto"/>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绍兴市再生能源发展有限公司CEMS氧化锆及粉尘仪技改 </w:t>
      </w:r>
      <w:r>
        <w:rPr>
          <w:rFonts w:hint="eastAsia" w:ascii="仿宋" w:hAnsi="仿宋" w:eastAsia="仿宋" w:cs="仿宋"/>
          <w:sz w:val="30"/>
          <w:szCs w:val="30"/>
          <w:u w:val="none"/>
          <w:lang w:val="en-US" w:eastAsia="zh-CN"/>
        </w:rPr>
        <w:t>项目。</w:t>
      </w:r>
    </w:p>
    <w:p>
      <w:pPr>
        <w:pStyle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项目完成且通过验收后，采购人出具相应验收单，中标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叁拾万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8839328"/>
      <w:bookmarkStart w:id="17" w:name="_Toc10316567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CEMS氧化锆及粉尘仪技改项目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附件四  报价清单（由投标人自行填写）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1"/>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6C02DB"/>
    <w:rsid w:val="097479E0"/>
    <w:rsid w:val="0A0C6ADD"/>
    <w:rsid w:val="0A32752C"/>
    <w:rsid w:val="0A9D29B8"/>
    <w:rsid w:val="0B2C6C02"/>
    <w:rsid w:val="0BC12699"/>
    <w:rsid w:val="0BCC31F9"/>
    <w:rsid w:val="0C576C5E"/>
    <w:rsid w:val="0C5A16A4"/>
    <w:rsid w:val="0DC35837"/>
    <w:rsid w:val="0DE61498"/>
    <w:rsid w:val="110C39D4"/>
    <w:rsid w:val="1297576D"/>
    <w:rsid w:val="12BF4C87"/>
    <w:rsid w:val="12E70A09"/>
    <w:rsid w:val="144E5B74"/>
    <w:rsid w:val="15341747"/>
    <w:rsid w:val="15F73AFB"/>
    <w:rsid w:val="164F6705"/>
    <w:rsid w:val="16646293"/>
    <w:rsid w:val="16FE5921"/>
    <w:rsid w:val="17B042A1"/>
    <w:rsid w:val="1A2B7D96"/>
    <w:rsid w:val="1BD33B78"/>
    <w:rsid w:val="1BEC2FB3"/>
    <w:rsid w:val="1CE262BC"/>
    <w:rsid w:val="1D6D770B"/>
    <w:rsid w:val="1DA64EFD"/>
    <w:rsid w:val="1E1A21EF"/>
    <w:rsid w:val="203B090D"/>
    <w:rsid w:val="206A6ABA"/>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592232A"/>
    <w:rsid w:val="469F7AF8"/>
    <w:rsid w:val="475812CD"/>
    <w:rsid w:val="475D1115"/>
    <w:rsid w:val="478F3581"/>
    <w:rsid w:val="47B96D86"/>
    <w:rsid w:val="47D615F1"/>
    <w:rsid w:val="47D93555"/>
    <w:rsid w:val="48034DA7"/>
    <w:rsid w:val="486F4BB5"/>
    <w:rsid w:val="48A60514"/>
    <w:rsid w:val="48E14418"/>
    <w:rsid w:val="491635D4"/>
    <w:rsid w:val="49E7480F"/>
    <w:rsid w:val="4AF173EE"/>
    <w:rsid w:val="4BCE4945"/>
    <w:rsid w:val="4C2F1B9C"/>
    <w:rsid w:val="4C870D35"/>
    <w:rsid w:val="4D2832EB"/>
    <w:rsid w:val="4DB81983"/>
    <w:rsid w:val="4DF66F25"/>
    <w:rsid w:val="4E376DB9"/>
    <w:rsid w:val="4E716394"/>
    <w:rsid w:val="4ECC39F8"/>
    <w:rsid w:val="4F0A3ECF"/>
    <w:rsid w:val="4F595384"/>
    <w:rsid w:val="4F7F3CCA"/>
    <w:rsid w:val="502844C8"/>
    <w:rsid w:val="51D845E4"/>
    <w:rsid w:val="52341DDD"/>
    <w:rsid w:val="529607A5"/>
    <w:rsid w:val="531111FC"/>
    <w:rsid w:val="533444FB"/>
    <w:rsid w:val="55C54FE9"/>
    <w:rsid w:val="55E07717"/>
    <w:rsid w:val="56397366"/>
    <w:rsid w:val="58080247"/>
    <w:rsid w:val="5950112B"/>
    <w:rsid w:val="59C3293C"/>
    <w:rsid w:val="5A1C766A"/>
    <w:rsid w:val="5A6C5BFC"/>
    <w:rsid w:val="5CF528AB"/>
    <w:rsid w:val="5D132301"/>
    <w:rsid w:val="5F1E1E73"/>
    <w:rsid w:val="612A3DEE"/>
    <w:rsid w:val="62B67083"/>
    <w:rsid w:val="6387154E"/>
    <w:rsid w:val="649C599A"/>
    <w:rsid w:val="668A1A43"/>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6FBF3CB5"/>
    <w:rsid w:val="707E74C2"/>
    <w:rsid w:val="710D0440"/>
    <w:rsid w:val="71C5585F"/>
    <w:rsid w:val="720E79AF"/>
    <w:rsid w:val="73A1381E"/>
    <w:rsid w:val="7459468D"/>
    <w:rsid w:val="749131D7"/>
    <w:rsid w:val="756F240E"/>
    <w:rsid w:val="779817DA"/>
    <w:rsid w:val="77D476E8"/>
    <w:rsid w:val="782A7918"/>
    <w:rsid w:val="79715756"/>
    <w:rsid w:val="79C91BF9"/>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1"/>
    <w:autoRedefine/>
    <w:qFormat/>
    <w:uiPriority w:val="1"/>
    <w:pPr>
      <w:spacing w:after="120" w:afterLines="0"/>
    </w:pPr>
  </w:style>
  <w:style w:type="paragraph" w:styleId="5">
    <w:name w:val="Body Text Indent"/>
    <w:basedOn w:val="1"/>
    <w:autoRedefine/>
    <w:qFormat/>
    <w:uiPriority w:val="0"/>
    <w:pPr>
      <w:spacing w:line="480" w:lineRule="auto"/>
      <w:ind w:firstLine="600"/>
    </w:pPr>
    <w:rPr>
      <w:sz w:val="28"/>
    </w:rPr>
  </w:style>
  <w:style w:type="paragraph" w:styleId="6">
    <w:name w:val="Balloon Text"/>
    <w:basedOn w:val="1"/>
    <w:link w:val="24"/>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jc w:val="left"/>
    </w:pPr>
    <w:rPr>
      <w:b/>
      <w:caps/>
    </w:rPr>
  </w:style>
  <w:style w:type="paragraph" w:styleId="10">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1">
    <w:name w:val="Body Text First Indent"/>
    <w:basedOn w:val="4"/>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12">
    <w:name w:val="Body Text First Indent 2"/>
    <w:basedOn w:val="5"/>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8"/>
    <w:autoRedefine/>
    <w:qFormat/>
    <w:uiPriority w:val="0"/>
    <w:rPr>
      <w:kern w:val="2"/>
      <w:sz w:val="18"/>
      <w:szCs w:val="18"/>
    </w:rPr>
  </w:style>
  <w:style w:type="character" w:customStyle="1" w:styleId="24">
    <w:name w:val="批注框文本 Char"/>
    <w:basedOn w:val="15"/>
    <w:link w:val="6"/>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2"/>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2024-03-20T01:37:00Z</cp:lastPrinted>
  <dcterms:modified xsi:type="dcterms:W3CDTF">2024-03-25T07:26:43Z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