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年度盐酸采购项目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CG-YS-2509007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年度盐酸采购项目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五</w:t>
      </w:r>
      <w:r>
        <w:rPr>
          <w:rFonts w:hint="eastAsia" w:ascii="仿宋" w:hAnsi="仿宋" w:eastAsia="仿宋" w:cs="仿宋"/>
          <w:sz w:val="32"/>
          <w:szCs w:val="32"/>
        </w:rPr>
        <w:t>年</w:t>
      </w:r>
      <w:r>
        <w:rPr>
          <w:rFonts w:hint="eastAsia" w:ascii="仿宋" w:hAnsi="仿宋" w:eastAsia="仿宋" w:cs="仿宋"/>
          <w:sz w:val="32"/>
          <w:szCs w:val="32"/>
          <w:lang w:val="en-US" w:eastAsia="zh-CN"/>
        </w:rPr>
        <w:t>九</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18</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22</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6995"/>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年度盐酸采购项目进行招标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SX-CG-YS-2509007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4682" w:type="pct"/>
        <w:jc w:val="center"/>
        <w:tblLayout w:type="fixed"/>
        <w:tblCellMar>
          <w:top w:w="0" w:type="dxa"/>
          <w:left w:w="108" w:type="dxa"/>
          <w:bottom w:w="0" w:type="dxa"/>
          <w:right w:w="108" w:type="dxa"/>
        </w:tblCellMar>
      </w:tblPr>
      <w:tblGrid>
        <w:gridCol w:w="758"/>
        <w:gridCol w:w="1460"/>
        <w:gridCol w:w="2140"/>
        <w:gridCol w:w="1470"/>
        <w:gridCol w:w="871"/>
        <w:gridCol w:w="1998"/>
      </w:tblGrid>
      <w:tr w14:paraId="24345D97">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09E823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4547F8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140" w:type="dxa"/>
            <w:tcBorders>
              <w:top w:val="single" w:color="000000" w:sz="4" w:space="0"/>
              <w:left w:val="single" w:color="000000" w:sz="4" w:space="0"/>
              <w:bottom w:val="single" w:color="000000" w:sz="4" w:space="0"/>
              <w:right w:val="single" w:color="000000" w:sz="4" w:space="0"/>
            </w:tcBorders>
            <w:noWrap/>
            <w:vAlign w:val="center"/>
          </w:tcPr>
          <w:p w14:paraId="7C22F79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470" w:type="dxa"/>
            <w:tcBorders>
              <w:top w:val="single" w:color="000000" w:sz="4" w:space="0"/>
              <w:left w:val="single" w:color="000000" w:sz="4" w:space="0"/>
              <w:bottom w:val="single" w:color="000000" w:sz="4" w:space="0"/>
              <w:right w:val="single" w:color="000000" w:sz="4" w:space="0"/>
            </w:tcBorders>
            <w:noWrap/>
            <w:vAlign w:val="center"/>
          </w:tcPr>
          <w:p w14:paraId="4FCACF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871" w:type="dxa"/>
            <w:tcBorders>
              <w:top w:val="single" w:color="000000" w:sz="4" w:space="0"/>
              <w:left w:val="single" w:color="000000" w:sz="4" w:space="0"/>
              <w:bottom w:val="single" w:color="000000" w:sz="4" w:space="0"/>
              <w:right w:val="single" w:color="000000" w:sz="4" w:space="0"/>
            </w:tcBorders>
            <w:noWrap/>
            <w:vAlign w:val="center"/>
          </w:tcPr>
          <w:p w14:paraId="659C4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E4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备注</w:t>
            </w:r>
          </w:p>
        </w:tc>
      </w:tr>
      <w:tr w14:paraId="3451946A">
        <w:tblPrEx>
          <w:tblCellMar>
            <w:top w:w="0" w:type="dxa"/>
            <w:left w:w="108" w:type="dxa"/>
            <w:bottom w:w="0" w:type="dxa"/>
            <w:right w:w="108" w:type="dxa"/>
          </w:tblCellMar>
        </w:tblPrEx>
        <w:trPr>
          <w:trHeight w:val="1623"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05F7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EFE64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盐酸</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8D0D2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优等品，浓度31%，槽罐车罐装，要求为合成新酸，不得使用回收酸。（GB320-2006）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14:paraId="687DF06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约100吨，按实际使用量结算</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118EBC2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吨</w:t>
            </w:r>
          </w:p>
        </w:tc>
        <w:tc>
          <w:tcPr>
            <w:tcW w:w="19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4B9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每次送货量约15-20吨左右，送货时间每次由采购人提前通知，金额按具体使用量进行结算</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w:t>
      </w:r>
      <w:r>
        <w:rPr>
          <w:rFonts w:hint="eastAsia" w:ascii="仿宋" w:hAnsi="仿宋" w:eastAsia="仿宋" w:cs="仿宋"/>
          <w:sz w:val="30"/>
          <w:szCs w:val="30"/>
          <w:highlight w:val="none"/>
          <w:lang w:val="en-US" w:eastAsia="zh-CN"/>
        </w:rPr>
        <w:t>2.9万</w:t>
      </w:r>
      <w:r>
        <w:rPr>
          <w:rFonts w:hint="eastAsia" w:ascii="仿宋" w:hAnsi="仿宋" w:eastAsia="仿宋" w:cs="仿宋"/>
          <w:sz w:val="30"/>
          <w:szCs w:val="30"/>
          <w:highlight w:val="none"/>
        </w:rPr>
        <w:t>元。</w:t>
      </w:r>
    </w:p>
    <w:p w14:paraId="5260B29F">
      <w:pPr>
        <w:pStyle w:val="1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4.根据采购人实际需要，分批次供货，每次送货量约15-20吨左右，按过磅实际供货量进行结算。供应商接到采购人送货通知后，3个工作日内将货物如数送至采购人指定地点。</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58B6F84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_GB2312" w:eastAsia="仿宋_GB2312"/>
          <w:sz w:val="30"/>
          <w:szCs w:val="30"/>
          <w:u w:val="single"/>
          <w:lang w:val="en-US" w:eastAsia="zh-CN"/>
        </w:rPr>
        <w:t>投标人经营范围须包含</w:t>
      </w:r>
      <w:r>
        <w:rPr>
          <w:rFonts w:hint="eastAsia" w:ascii="仿宋_GB2312" w:eastAsia="仿宋_GB2312"/>
          <w:sz w:val="28"/>
          <w:szCs w:val="30"/>
          <w:u w:val="single"/>
          <w:lang w:eastAsia="zh-CN"/>
        </w:rPr>
        <w:t>易制毒易制爆</w:t>
      </w:r>
      <w:r>
        <w:rPr>
          <w:rFonts w:hint="eastAsia" w:ascii="仿宋_GB2312" w:eastAsia="仿宋_GB2312"/>
          <w:sz w:val="28"/>
          <w:szCs w:val="30"/>
          <w:u w:val="single"/>
        </w:rPr>
        <w:t>的</w:t>
      </w:r>
      <w:r>
        <w:rPr>
          <w:rFonts w:hint="eastAsia" w:ascii="仿宋_GB2312" w:eastAsia="仿宋_GB2312"/>
          <w:sz w:val="28"/>
          <w:szCs w:val="30"/>
          <w:u w:val="single"/>
          <w:lang w:eastAsia="zh-CN"/>
        </w:rPr>
        <w:t>相关经营</w:t>
      </w:r>
      <w:r>
        <w:rPr>
          <w:rFonts w:hint="eastAsia" w:ascii="仿宋_GB2312" w:eastAsia="仿宋_GB2312"/>
          <w:sz w:val="28"/>
          <w:szCs w:val="30"/>
          <w:u w:val="single"/>
        </w:rPr>
        <w:t>资质</w:t>
      </w:r>
      <w:r>
        <w:rPr>
          <w:rFonts w:hint="eastAsia" w:ascii="仿宋_GB2312" w:eastAsia="仿宋_GB2312"/>
          <w:sz w:val="28"/>
          <w:szCs w:val="30"/>
          <w:u w:val="single"/>
          <w:lang w:eastAsia="zh-CN"/>
        </w:rPr>
        <w:t>，并采用槽罐车运输的方式送至现场</w:t>
      </w:r>
      <w:r>
        <w:rPr>
          <w:rFonts w:hint="eastAsia" w:ascii="仿宋" w:hAnsi="仿宋" w:eastAsia="仿宋" w:cs="仿宋"/>
          <w:sz w:val="30"/>
          <w:szCs w:val="30"/>
          <w:lang w:val="en-US" w:eastAsia="zh-CN"/>
        </w:rPr>
        <w:t>。</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23057"/>
      <w:bookmarkStart w:id="8" w:name="_Toc530583922"/>
      <w:bookmarkStart w:id="9" w:name="_Toc530583879"/>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5</w:t>
      </w:r>
      <w:r>
        <w:rPr>
          <w:rFonts w:hint="eastAsia" w:ascii="仿宋_GB2312" w:eastAsia="仿宋_GB2312"/>
          <w:sz w:val="30"/>
          <w:szCs w:val="30"/>
        </w:rPr>
        <w:t>年</w:t>
      </w:r>
      <w:r>
        <w:rPr>
          <w:rFonts w:hint="eastAsia" w:ascii="仿宋_GB2312" w:eastAsia="仿宋_GB2312"/>
          <w:sz w:val="30"/>
          <w:szCs w:val="30"/>
          <w:lang w:val="en-US" w:eastAsia="zh-CN"/>
        </w:rPr>
        <w:t>10月11</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报价文件邮递递交截止时间：截至2025年</w:t>
      </w:r>
      <w:r>
        <w:rPr>
          <w:rFonts w:hint="eastAsia" w:ascii="仿宋_GB2312" w:eastAsia="仿宋_GB2312"/>
          <w:sz w:val="30"/>
          <w:szCs w:val="30"/>
          <w:lang w:val="en-US" w:eastAsia="zh-CN"/>
        </w:rPr>
        <w:t>10</w:t>
      </w:r>
      <w:r>
        <w:rPr>
          <w:rFonts w:hint="eastAsia" w:ascii="仿宋_GB2312" w:eastAsia="仿宋_GB2312"/>
          <w:sz w:val="30"/>
          <w:szCs w:val="30"/>
        </w:rPr>
        <w:t>月</w:t>
      </w:r>
      <w:r>
        <w:rPr>
          <w:rFonts w:hint="eastAsia" w:ascii="仿宋_GB2312" w:eastAsia="仿宋_GB2312"/>
          <w:sz w:val="30"/>
          <w:szCs w:val="30"/>
          <w:lang w:val="en-US" w:eastAsia="zh-CN"/>
        </w:rPr>
        <w:t>10</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2025</w:t>
      </w:r>
      <w:r>
        <w:rPr>
          <w:rFonts w:hint="default" w:ascii="仿宋_GB2312" w:eastAsia="仿宋_GB2312"/>
          <w:sz w:val="30"/>
          <w:szCs w:val="30"/>
          <w:lang w:val="en-US"/>
        </w:rPr>
        <w:t>年</w:t>
      </w:r>
      <w:r>
        <w:rPr>
          <w:rFonts w:hint="eastAsia" w:ascii="仿宋_GB2312" w:eastAsia="仿宋_GB2312"/>
          <w:sz w:val="30"/>
          <w:szCs w:val="30"/>
          <w:lang w:val="en-US" w:eastAsia="zh-CN"/>
        </w:rPr>
        <w:t>9月29</w:t>
      </w:r>
      <w:bookmarkStart w:id="21" w:name="_GoBack"/>
      <w:bookmarkEnd w:id="21"/>
      <w:r>
        <w:rPr>
          <w:rFonts w:hint="eastAsia" w:ascii="仿宋_GB2312" w:eastAsia="仿宋_GB2312"/>
          <w:sz w:val="30"/>
          <w:szCs w:val="30"/>
        </w:rPr>
        <w:t>日</w:t>
      </w:r>
    </w:p>
    <w:p w14:paraId="10E9B901">
      <w:pPr>
        <w:pStyle w:val="12"/>
        <w:rPr>
          <w:rFonts w:hint="eastAsia" w:ascii="仿宋_GB2312" w:eastAsia="仿宋_GB2312"/>
          <w:sz w:val="30"/>
          <w:szCs w:val="30"/>
        </w:rPr>
      </w:pPr>
    </w:p>
    <w:p w14:paraId="3A86D49D">
      <w:pPr>
        <w:pStyle w:val="12"/>
        <w:rPr>
          <w:rFonts w:hint="eastAsia" w:ascii="仿宋_GB2312" w:eastAsia="仿宋_GB2312"/>
          <w:sz w:val="30"/>
          <w:szCs w:val="30"/>
        </w:rPr>
      </w:pPr>
    </w:p>
    <w:p w14:paraId="4EFDF728">
      <w:pPr>
        <w:pStyle w:val="12"/>
        <w:rPr>
          <w:rFonts w:hint="eastAsia" w:ascii="仿宋_GB2312" w:eastAsia="仿宋_GB2312"/>
          <w:sz w:val="30"/>
          <w:szCs w:val="30"/>
        </w:rPr>
      </w:pPr>
    </w:p>
    <w:p w14:paraId="41CF67AE">
      <w:pPr>
        <w:pStyle w:val="12"/>
        <w:rPr>
          <w:rFonts w:hint="eastAsia" w:ascii="仿宋_GB2312" w:eastAsia="仿宋_GB2312"/>
          <w:sz w:val="30"/>
          <w:szCs w:val="30"/>
        </w:rPr>
      </w:pPr>
    </w:p>
    <w:p w14:paraId="1B8DEF0A">
      <w:pPr>
        <w:pStyle w:val="12"/>
        <w:rPr>
          <w:rFonts w:hint="eastAsia" w:ascii="仿宋_GB2312" w:eastAsia="仿宋_GB2312"/>
          <w:sz w:val="30"/>
          <w:szCs w:val="30"/>
        </w:rPr>
      </w:pPr>
    </w:p>
    <w:p w14:paraId="2CCD9DA2">
      <w:pPr>
        <w:pStyle w:val="12"/>
        <w:rPr>
          <w:rFonts w:hint="eastAsia" w:ascii="仿宋_GB2312" w:eastAsia="仿宋_GB2312"/>
          <w:sz w:val="30"/>
          <w:szCs w:val="30"/>
        </w:rPr>
      </w:pPr>
    </w:p>
    <w:p w14:paraId="6BD300D3">
      <w:pPr>
        <w:pStyle w:val="12"/>
        <w:rPr>
          <w:rFonts w:hint="eastAsia" w:ascii="仿宋_GB2312" w:eastAsia="仿宋_GB2312"/>
          <w:sz w:val="30"/>
          <w:szCs w:val="30"/>
        </w:rPr>
      </w:pPr>
    </w:p>
    <w:p w14:paraId="55D780DF">
      <w:pPr>
        <w:pStyle w:val="12"/>
        <w:rPr>
          <w:rFonts w:hint="eastAsia" w:ascii="仿宋_GB2312" w:eastAsia="仿宋_GB2312"/>
          <w:sz w:val="30"/>
          <w:szCs w:val="30"/>
        </w:rPr>
      </w:pPr>
    </w:p>
    <w:p w14:paraId="70FC8F71">
      <w:pPr>
        <w:pStyle w:val="1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444D9E5A">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highlight w:val="none"/>
          <w:lang w:val="en-US" w:eastAsia="zh-CN"/>
        </w:rPr>
        <w:t>本项目供货期为一年，根据采购人实际需要，分批次供货，每次送货量约15-20吨左右，按过磅实际供货量进行结算。双方签订合同后，供应商接到采购人送货通知后，3个工作日内将货物如数送至采购人指定地点</w:t>
      </w:r>
      <w:r>
        <w:rPr>
          <w:rFonts w:hint="eastAsia" w:ascii="仿宋" w:hAnsi="仿宋" w:eastAsia="仿宋" w:cs="仿宋"/>
          <w:color w:val="auto"/>
          <w:kern w:val="2"/>
          <w:sz w:val="30"/>
          <w:szCs w:val="30"/>
          <w:highlight w:val="none"/>
          <w:lang w:eastAsia="zh-CN"/>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物资名称</w:t>
            </w:r>
          </w:p>
        </w:tc>
        <w:tc>
          <w:tcPr>
            <w:tcW w:w="1711" w:type="dxa"/>
            <w:tcBorders>
              <w:top w:val="single" w:color="auto" w:sz="4" w:space="0"/>
              <w:left w:val="nil"/>
              <w:bottom w:val="single" w:color="auto" w:sz="4" w:space="0"/>
              <w:right w:val="single" w:color="auto" w:sz="4" w:space="0"/>
            </w:tcBorders>
            <w:noWrap w:val="0"/>
            <w:vAlign w:val="center"/>
          </w:tcPr>
          <w:p w14:paraId="7E1DDE4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规格型号</w:t>
            </w:r>
          </w:p>
        </w:tc>
        <w:tc>
          <w:tcPr>
            <w:tcW w:w="709" w:type="dxa"/>
            <w:tcBorders>
              <w:top w:val="single" w:color="auto" w:sz="4" w:space="0"/>
              <w:left w:val="nil"/>
              <w:bottom w:val="single" w:color="auto" w:sz="4" w:space="0"/>
              <w:right w:val="single" w:color="auto" w:sz="4" w:space="0"/>
            </w:tcBorders>
            <w:noWrap w:val="0"/>
            <w:vAlign w:val="center"/>
          </w:tcPr>
          <w:p w14:paraId="0FE24892">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单位</w:t>
            </w:r>
          </w:p>
        </w:tc>
        <w:tc>
          <w:tcPr>
            <w:tcW w:w="709" w:type="dxa"/>
            <w:tcBorders>
              <w:top w:val="single" w:color="auto" w:sz="4" w:space="0"/>
              <w:left w:val="nil"/>
              <w:bottom w:val="single" w:color="auto" w:sz="4" w:space="0"/>
              <w:right w:val="single" w:color="auto" w:sz="4" w:space="0"/>
            </w:tcBorders>
            <w:noWrap w:val="0"/>
            <w:vAlign w:val="center"/>
          </w:tcPr>
          <w:p w14:paraId="1827530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数量</w:t>
            </w:r>
          </w:p>
        </w:tc>
        <w:tc>
          <w:tcPr>
            <w:tcW w:w="992" w:type="dxa"/>
            <w:tcBorders>
              <w:top w:val="single" w:color="auto" w:sz="4" w:space="0"/>
              <w:left w:val="nil"/>
              <w:bottom w:val="single" w:color="auto" w:sz="4" w:space="0"/>
              <w:right w:val="single" w:color="auto" w:sz="4" w:space="0"/>
            </w:tcBorders>
            <w:noWrap w:val="0"/>
            <w:vAlign w:val="center"/>
          </w:tcPr>
          <w:p w14:paraId="0662135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14A91725">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33" w:type="dxa"/>
            <w:tcBorders>
              <w:top w:val="single" w:color="auto" w:sz="4" w:space="0"/>
              <w:left w:val="nil"/>
              <w:bottom w:val="single" w:color="auto" w:sz="4" w:space="0"/>
              <w:right w:val="single" w:color="auto" w:sz="4" w:space="0"/>
            </w:tcBorders>
            <w:noWrap w:val="0"/>
            <w:vAlign w:val="center"/>
          </w:tcPr>
          <w:p w14:paraId="07EED21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27E85A29">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627" w:type="dxa"/>
            <w:tcBorders>
              <w:top w:val="single" w:color="auto" w:sz="4" w:space="0"/>
              <w:left w:val="nil"/>
              <w:bottom w:val="single" w:color="auto" w:sz="4" w:space="0"/>
              <w:right w:val="single" w:color="auto" w:sz="4" w:space="0"/>
            </w:tcBorders>
            <w:noWrap w:val="0"/>
            <w:vAlign w:val="center"/>
          </w:tcPr>
          <w:p w14:paraId="01AE2C9D">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1633" w:type="dxa"/>
            <w:tcBorders>
              <w:top w:val="nil"/>
              <w:left w:val="single" w:color="auto" w:sz="4" w:space="0"/>
              <w:bottom w:val="single" w:color="auto" w:sz="4" w:space="0"/>
              <w:right w:val="single" w:color="auto" w:sz="4" w:space="0"/>
            </w:tcBorders>
            <w:noWrap w:val="0"/>
            <w:vAlign w:val="center"/>
          </w:tcPr>
          <w:p w14:paraId="7615F5B0">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c>
          <w:tcPr>
            <w:tcW w:w="1627" w:type="dxa"/>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eastAsia="zh-CN"/>
        </w:rPr>
        <w:t>本项目供货期为一年，根据采购人实际需要，分批次供货，按实际结算。双方签订合同后，供应商接到采购人送货通知后，</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个工作日内将货物如数送至采购人指定地点</w:t>
      </w:r>
      <w:r>
        <w:rPr>
          <w:rFonts w:hint="eastAsia" w:ascii="方正仿宋_GBK" w:hAnsi="方正仿宋_GBK" w:eastAsia="方正仿宋_GBK" w:cs="方正仿宋_GBK"/>
          <w:sz w:val="28"/>
          <w:szCs w:val="28"/>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符合现场使用要求。</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w:t>
      </w:r>
      <w:r>
        <w:rPr>
          <w:rFonts w:hint="eastAsia" w:ascii="方正仿宋_GBK" w:hAnsi="方正仿宋_GBK" w:eastAsia="方正仿宋_GBK" w:cs="方正仿宋_GBK"/>
          <w:sz w:val="28"/>
          <w:szCs w:val="28"/>
          <w:lang w:eastAsia="zh-CN"/>
        </w:rPr>
        <w:t>总价</w:t>
      </w:r>
      <w:r>
        <w:rPr>
          <w:rFonts w:hint="eastAsia" w:ascii="方正仿宋_GBK" w:hAnsi="方正仿宋_GBK" w:eastAsia="方正仿宋_GBK" w:cs="方正仿宋_GBK"/>
          <w:sz w:val="28"/>
          <w:szCs w:val="28"/>
        </w:rPr>
        <w:t>合同，金额包含包装费、运费、税金、保险费等， 供需双方不能因市场价格变化而调整合同价。</w:t>
      </w:r>
    </w:p>
    <w:p w14:paraId="1BB9B344">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56AA12FF">
      <w:pPr>
        <w:pStyle w:val="34"/>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35A817B8">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rPr>
        <w:t xml:space="preserve"> </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年度盐酸采购项目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年度盐酸采购项目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SX-CG-YS-2509007</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5</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3E657E88">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年度盐酸采购 </w:t>
      </w:r>
      <w:r>
        <w:rPr>
          <w:rFonts w:hint="eastAsia" w:ascii="仿宋" w:hAnsi="仿宋" w:eastAsia="仿宋" w:cs="仿宋"/>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3CB58D97">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6089D7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00966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4F899E5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5DFFFB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4E694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2B326D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6452F90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65D0E8BF">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3EB04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7CACC9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auto"/>
                <w:kern w:val="0"/>
                <w:sz w:val="24"/>
                <w:szCs w:val="24"/>
                <w:highlight w:val="none"/>
                <w:u w:val="none"/>
                <w:lang w:val="en-US" w:eastAsia="zh-CN" w:bidi="ar"/>
              </w:rPr>
              <w:t>盐酸</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02E8DF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优等品，浓度31%，槽罐车罐装，要求为合成新酸，不得使用回收酸。（GB320-2006）</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435C68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约100吨，按实际使用量结算</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A6C6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DC307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307EF11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65EF5309">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相关要求：1、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w:t>
      </w:r>
      <w:r>
        <w:rPr>
          <w:rFonts w:hint="eastAsia" w:ascii="仿宋" w:hAnsi="仿宋" w:eastAsia="仿宋" w:cs="仿宋"/>
          <w:color w:val="auto"/>
          <w:sz w:val="30"/>
          <w:szCs w:val="30"/>
          <w:highlight w:val="none"/>
          <w:lang w:val="en-US" w:eastAsia="zh-CN"/>
        </w:rPr>
        <w:t>2.9万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5</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2BACE096">
      <w:pPr>
        <w:spacing w:line="360" w:lineRule="auto"/>
        <w:jc w:val="center"/>
        <w:rPr>
          <w:rFonts w:hint="eastAsia" w:ascii="仿宋" w:hAnsi="仿宋" w:eastAsia="仿宋" w:cs="仿宋"/>
          <w:b/>
          <w:color w:val="auto"/>
          <w:sz w:val="44"/>
          <w:lang w:val="en-US" w:eastAsia="zh-CN"/>
        </w:rPr>
      </w:pPr>
    </w:p>
    <w:p w14:paraId="1A09CCCD">
      <w:pPr>
        <w:spacing w:line="360" w:lineRule="auto"/>
        <w:jc w:val="center"/>
        <w:rPr>
          <w:rFonts w:hint="eastAsia" w:ascii="仿宋" w:hAnsi="仿宋" w:eastAsia="仿宋" w:cs="仿宋"/>
          <w:b/>
          <w:color w:val="auto"/>
          <w:sz w:val="44"/>
          <w:lang w:val="en-US" w:eastAsia="zh-CN"/>
        </w:rPr>
      </w:pPr>
    </w:p>
    <w:p w14:paraId="178EEF47">
      <w:pPr>
        <w:spacing w:line="360" w:lineRule="auto"/>
        <w:jc w:val="center"/>
        <w:rPr>
          <w:rFonts w:hint="eastAsia" w:ascii="仿宋" w:hAnsi="仿宋" w:eastAsia="仿宋" w:cs="仿宋"/>
          <w:b/>
          <w:color w:val="auto"/>
          <w:sz w:val="44"/>
          <w:lang w:val="en-US" w:eastAsia="zh-CN"/>
        </w:rPr>
      </w:pPr>
    </w:p>
    <w:p w14:paraId="67492C28">
      <w:pPr>
        <w:spacing w:line="360" w:lineRule="auto"/>
        <w:jc w:val="center"/>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年度盐酸采购 </w:t>
      </w:r>
      <w:r>
        <w:rPr>
          <w:rFonts w:hint="eastAsia" w:ascii="仿宋" w:hAnsi="仿宋" w:eastAsia="仿宋" w:cs="仿宋"/>
          <w:color w:val="auto"/>
          <w:sz w:val="30"/>
          <w:szCs w:val="30"/>
          <w:u w:val="none"/>
          <w:lang w:val="en-US" w:eastAsia="zh-CN"/>
        </w:rPr>
        <w:t>项目。</w:t>
      </w:r>
    </w:p>
    <w:tbl>
      <w:tblPr>
        <w:tblStyle w:val="13"/>
        <w:tblW w:w="5229" w:type="pct"/>
        <w:jc w:val="center"/>
        <w:tblLayout w:type="fixed"/>
        <w:tblCellMar>
          <w:top w:w="0" w:type="dxa"/>
          <w:left w:w="108" w:type="dxa"/>
          <w:bottom w:w="0" w:type="dxa"/>
          <w:right w:w="108" w:type="dxa"/>
        </w:tblCellMar>
      </w:tblPr>
      <w:tblGrid>
        <w:gridCol w:w="758"/>
        <w:gridCol w:w="1460"/>
        <w:gridCol w:w="3398"/>
        <w:gridCol w:w="1101"/>
        <w:gridCol w:w="866"/>
        <w:gridCol w:w="981"/>
        <w:gridCol w:w="1149"/>
      </w:tblGrid>
      <w:tr w14:paraId="21CC8D02">
        <w:tblPrEx>
          <w:tblCellMar>
            <w:top w:w="0" w:type="dxa"/>
            <w:left w:w="108" w:type="dxa"/>
            <w:bottom w:w="0" w:type="dxa"/>
            <w:right w:w="108" w:type="dxa"/>
          </w:tblCellMar>
        </w:tblPrEx>
        <w:trPr>
          <w:trHeight w:val="467"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11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w:t>
            </w:r>
          </w:p>
        </w:tc>
        <w:tc>
          <w:tcPr>
            <w:tcW w:w="1054"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w:t>
            </w:r>
          </w:p>
        </w:tc>
      </w:tr>
      <w:tr w14:paraId="163CFD95">
        <w:tblPrEx>
          <w:tblCellMar>
            <w:top w:w="0" w:type="dxa"/>
            <w:left w:w="108" w:type="dxa"/>
            <w:bottom w:w="0" w:type="dxa"/>
            <w:right w:w="108" w:type="dxa"/>
          </w:tblCellMar>
        </w:tblPrEx>
        <w:trPr>
          <w:trHeight w:val="1623" w:hRule="atLeast"/>
          <w:jc w:val="center"/>
        </w:trPr>
        <w:tc>
          <w:tcPr>
            <w:tcW w:w="696"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54"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C84774">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sz w:val="30"/>
          <w:szCs w:val="30"/>
          <w:lang w:val="en-US" w:eastAsia="zh-CN"/>
        </w:rPr>
        <w:t>每次送货完成后，供货方提供经双方确认的送货清单及增值税专用发票，采购人自收到准确清单和发票后，于次二月完成货款支付。供货方需提供一年质保，其履约保证金（合同价的5%）到时自动转为质保金，于质保期到期后支付，质保期从验收之日起计算。</w:t>
      </w:r>
    </w:p>
    <w:p w14:paraId="687EAA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0E1882D7">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5</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3165678"/>
      <w:bookmarkStart w:id="19" w:name="_Toc10883932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年度盐酸采购项目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C5A16A4"/>
    <w:rsid w:val="0DC35837"/>
    <w:rsid w:val="0DE61498"/>
    <w:rsid w:val="0ED22627"/>
    <w:rsid w:val="0FF5036F"/>
    <w:rsid w:val="110C39D4"/>
    <w:rsid w:val="1297576D"/>
    <w:rsid w:val="12BF4C87"/>
    <w:rsid w:val="12E70A09"/>
    <w:rsid w:val="15341747"/>
    <w:rsid w:val="164F6705"/>
    <w:rsid w:val="16646293"/>
    <w:rsid w:val="16FE5921"/>
    <w:rsid w:val="17507F90"/>
    <w:rsid w:val="17B042A1"/>
    <w:rsid w:val="1A2B7D96"/>
    <w:rsid w:val="1B25743C"/>
    <w:rsid w:val="1BD33B78"/>
    <w:rsid w:val="1BEC2FB3"/>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59E2C64"/>
    <w:rsid w:val="260706AD"/>
    <w:rsid w:val="26F76768"/>
    <w:rsid w:val="27AC61A6"/>
    <w:rsid w:val="27FE02E6"/>
    <w:rsid w:val="281F51A8"/>
    <w:rsid w:val="28C57566"/>
    <w:rsid w:val="29084622"/>
    <w:rsid w:val="29F704EF"/>
    <w:rsid w:val="2AC220DE"/>
    <w:rsid w:val="2ADB5E21"/>
    <w:rsid w:val="2ADF08BA"/>
    <w:rsid w:val="2B603075"/>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89D7311"/>
    <w:rsid w:val="398E418A"/>
    <w:rsid w:val="3996009B"/>
    <w:rsid w:val="3997709B"/>
    <w:rsid w:val="39A55AE7"/>
    <w:rsid w:val="3A351BE0"/>
    <w:rsid w:val="3AFB2B32"/>
    <w:rsid w:val="3B0953A4"/>
    <w:rsid w:val="3C0B0C04"/>
    <w:rsid w:val="3C302F1C"/>
    <w:rsid w:val="3C8719BD"/>
    <w:rsid w:val="3CE46170"/>
    <w:rsid w:val="3D431CCA"/>
    <w:rsid w:val="3D7933CA"/>
    <w:rsid w:val="3DA70031"/>
    <w:rsid w:val="3DAC3CC7"/>
    <w:rsid w:val="3E16524F"/>
    <w:rsid w:val="3EA30F9B"/>
    <w:rsid w:val="3F2D02B4"/>
    <w:rsid w:val="3F6A00AC"/>
    <w:rsid w:val="3F7C50B1"/>
    <w:rsid w:val="3F9F2EB5"/>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1C5FFA"/>
    <w:rsid w:val="4E376DB9"/>
    <w:rsid w:val="4E716394"/>
    <w:rsid w:val="4ECC39F8"/>
    <w:rsid w:val="4F0A3ECF"/>
    <w:rsid w:val="4F595384"/>
    <w:rsid w:val="4F7F3CCA"/>
    <w:rsid w:val="502844C8"/>
    <w:rsid w:val="51D845E4"/>
    <w:rsid w:val="51FE54A7"/>
    <w:rsid w:val="52341DDD"/>
    <w:rsid w:val="523A017B"/>
    <w:rsid w:val="531111FC"/>
    <w:rsid w:val="532D4FC8"/>
    <w:rsid w:val="533444F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8059</Words>
  <Characters>8309</Characters>
  <Lines>53</Lines>
  <Paragraphs>15</Paragraphs>
  <TotalTime>0</TotalTime>
  <ScaleCrop>false</ScaleCrop>
  <LinksUpToDate>false</LinksUpToDate>
  <CharactersWithSpaces>9550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2025-09-29T00:43:45Z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6B6B14F85D994E7489FE751AF1FEE212_13</vt:lpwstr>
  </property>
  <property fmtid="{D5CDD505-2E9C-101B-9397-08002B2CF9AE}" pid="4" name="KSOTemplateDocerSaveRecord">
    <vt:lpwstr>eyJoZGlkIjoiMTJhMzY5NTZlMjQ5NzNjMzkwZmE1ZjFmZjcxYmM5YmYiLCJ1c2VySWQiOiI0MTkyNjk4ODkifQ==</vt:lpwstr>
  </property>
</Properties>
</file>