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无烟煤采购项目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CG-WY-2509013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无烟煤采购项目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bookmarkStart w:id="21" w:name="_GoBack"/>
      <w:bookmarkEnd w:id="21"/>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十一</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23</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6995"/>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无烟煤采购项目进行招标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SX-CG-WY-2509013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3711" w:type="pct"/>
        <w:jc w:val="center"/>
        <w:tblLayout w:type="fixed"/>
        <w:tblCellMar>
          <w:top w:w="0" w:type="dxa"/>
          <w:left w:w="108" w:type="dxa"/>
          <w:bottom w:w="0" w:type="dxa"/>
          <w:right w:w="108" w:type="dxa"/>
        </w:tblCellMar>
      </w:tblPr>
      <w:tblGrid>
        <w:gridCol w:w="722"/>
        <w:gridCol w:w="1768"/>
        <w:gridCol w:w="2214"/>
        <w:gridCol w:w="1312"/>
        <w:gridCol w:w="877"/>
      </w:tblGrid>
      <w:tr w14:paraId="1ADEBB96">
        <w:trPr>
          <w:trHeight w:val="467"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40A0D7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671FD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174FCE7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4A9EF8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2F9EDC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14:paraId="1633A23E">
        <w:tblPrEx>
          <w:tblCellMar>
            <w:top w:w="0" w:type="dxa"/>
            <w:left w:w="108" w:type="dxa"/>
            <w:bottom w:w="0" w:type="dxa"/>
            <w:right w:w="108" w:type="dxa"/>
          </w:tblCellMar>
        </w:tblPrEx>
        <w:trPr>
          <w:trHeight w:val="952"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43A35E87">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auto"/>
                <w:kern w:val="0"/>
                <w:sz w:val="22"/>
                <w:szCs w:val="22"/>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49A4A0AC">
            <w:pPr>
              <w:adjustRightInd/>
              <w:snapToGrid/>
              <w:spacing w:after="0"/>
              <w:jc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lang w:val="en-US" w:eastAsia="zh-CN"/>
              </w:rPr>
              <w:t>无烟煤</w:t>
            </w:r>
          </w:p>
        </w:tc>
        <w:tc>
          <w:tcPr>
            <w:tcW w:w="2214" w:type="dxa"/>
            <w:tcBorders>
              <w:top w:val="single" w:color="000000" w:sz="4" w:space="0"/>
              <w:left w:val="single" w:color="000000" w:sz="4" w:space="0"/>
              <w:bottom w:val="single" w:color="000000" w:sz="4" w:space="0"/>
              <w:right w:val="single" w:color="000000" w:sz="4" w:space="0"/>
            </w:tcBorders>
            <w:noWrap w:val="0"/>
            <w:vAlign w:val="center"/>
          </w:tcPr>
          <w:p w14:paraId="78031702">
            <w:pPr>
              <w:adjustRightInd/>
              <w:snapToGrid/>
              <w:spacing w:after="0"/>
              <w:jc w:val="center"/>
              <w:rPr>
                <w:rFonts w:hint="default" w:ascii="仿宋" w:hAnsi="仿宋" w:eastAsia="仿宋" w:cs="仿宋"/>
                <w:b w:val="0"/>
                <w:bCs w:val="0"/>
                <w:i w:val="0"/>
                <w:iCs w:val="0"/>
                <w:color w:val="000000"/>
                <w:sz w:val="24"/>
                <w:szCs w:val="24"/>
                <w:highlight w:val="none"/>
                <w:u w:val="none"/>
                <w:lang w:val="en-US" w:eastAsia="zh-CN"/>
              </w:rPr>
            </w:pPr>
            <w:r>
              <w:rPr>
                <w:rFonts w:hint="eastAsia" w:ascii="Times New Roman" w:hAnsi="Times New Roman" w:eastAsia="方正仿宋_GBK" w:cs="Times New Roman"/>
                <w:b w:val="0"/>
                <w:bCs w:val="0"/>
                <w:sz w:val="24"/>
                <w:szCs w:val="24"/>
                <w:lang w:val="en-US" w:eastAsia="zh-CN"/>
              </w:rPr>
              <w:t>1</w:t>
            </w:r>
            <w:r>
              <w:rPr>
                <w:rFonts w:hint="eastAsia" w:ascii="Times New Roman" w:hAnsi="Times New Roman" w:eastAsia="方正仿宋_GBK" w:cs="Times New Roman"/>
                <w:b w:val="0"/>
                <w:bCs w:val="0"/>
                <w:sz w:val="24"/>
                <w:szCs w:val="24"/>
              </w:rPr>
              <w:t>mm-2mm</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1D1F3AE">
            <w:pPr>
              <w:keepNext w:val="0"/>
              <w:keepLines w:val="0"/>
              <w:widowControl/>
              <w:suppressLineNumbers w:val="0"/>
              <w:jc w:val="center"/>
              <w:textAlignment w:val="center"/>
              <w:rPr>
                <w:rFonts w:hint="default"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12</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6E7133E">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吨</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人民币2</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4.按过磅实际供货量进行结算。若实际过磅数量超过预估数量则按预估数量结算，供应商接到采购人送货通知后，10个工作日内将货物如数送至采购人指定地点。</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4E3555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23057"/>
      <w:bookmarkStart w:id="10" w:name="_Toc530583880"/>
      <w:bookmarkStart w:id="11"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11月14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11</w:t>
      </w:r>
      <w:r>
        <w:rPr>
          <w:rFonts w:hint="eastAsia" w:ascii="仿宋_GB2312" w:eastAsia="仿宋_GB2312"/>
          <w:sz w:val="30"/>
          <w:szCs w:val="30"/>
        </w:rPr>
        <w:t>月</w:t>
      </w:r>
      <w:r>
        <w:rPr>
          <w:rFonts w:hint="eastAsia" w:ascii="仿宋_GB2312" w:eastAsia="仿宋_GB2312"/>
          <w:sz w:val="30"/>
          <w:szCs w:val="30"/>
          <w:lang w:val="en-US" w:eastAsia="zh-CN"/>
        </w:rPr>
        <w:t>13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11月7</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19887FB7">
      <w:pPr>
        <w:pStyle w:val="2"/>
        <w:rPr>
          <w:rFonts w:hint="eastAsia" w:ascii="仿宋_GB2312" w:eastAsia="仿宋_GB2312"/>
          <w:sz w:val="30"/>
          <w:szCs w:val="30"/>
        </w:rPr>
      </w:pPr>
    </w:p>
    <w:p w14:paraId="55D780DF">
      <w:pPr>
        <w:pStyle w:val="2"/>
        <w:rPr>
          <w:rFonts w:hint="eastAsia" w:ascii="仿宋_GB2312" w:eastAsia="仿宋_GB2312"/>
          <w:sz w:val="30"/>
          <w:szCs w:val="30"/>
        </w:rPr>
      </w:pPr>
    </w:p>
    <w:p w14:paraId="70FC8F71">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5F23D2A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highlight w:val="none"/>
          <w:lang w:val="en-US" w:eastAsia="zh-CN"/>
        </w:rPr>
        <w:t>本项目为单次供货项目，根据</w:t>
      </w:r>
      <w:r>
        <w:rPr>
          <w:rFonts w:hint="eastAsia" w:ascii="仿宋" w:hAnsi="仿宋" w:eastAsia="仿宋" w:cs="仿宋"/>
          <w:color w:val="auto"/>
          <w:sz w:val="30"/>
          <w:szCs w:val="30"/>
          <w:highlight w:val="none"/>
          <w:lang w:val="en-US" w:eastAsia="zh-CN"/>
        </w:rPr>
        <w:t>采购人</w:t>
      </w:r>
      <w:r>
        <w:rPr>
          <w:rFonts w:hint="eastAsia" w:ascii="仿宋" w:hAnsi="仿宋" w:eastAsia="仿宋" w:cs="仿宋"/>
          <w:highlight w:val="none"/>
          <w:lang w:val="en-US" w:eastAsia="zh-CN"/>
        </w:rPr>
        <w:t>实际要求供货期进行供货，按过磅实际供货量进行结算。供货方接到采购人送货通知后，10个工作日内将货物如数送至采购人指定地点</w:t>
      </w:r>
      <w:r>
        <w:rPr>
          <w:rFonts w:hint="eastAsia" w:ascii="仿宋" w:hAnsi="仿宋" w:eastAsia="仿宋" w:cs="仿宋"/>
          <w:color w:val="auto"/>
          <w:kern w:val="2"/>
          <w:sz w:val="30"/>
          <w:szCs w:val="30"/>
          <w:highlight w:val="none"/>
          <w:lang w:eastAsia="zh-CN"/>
        </w:rPr>
        <w:t>。</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按过磅实际供货量进行结算，若实际过磅数量超过预估数量则按预估数量结算，最终结算价不得超过合同总价。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0662135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07EED21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时间：货方接到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符合现场使用及安装要求。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val="en-US" w:eastAsia="zh-CN"/>
        </w:rPr>
        <w:t>单价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5CB08DA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按过磅实际供货量进行结算，若实际过磅数量超过预估数量则按预估数量结算，最终结算价不得超过合同总价。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56AA12FF">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5A817B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无烟煤采购项目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无烟煤采购项目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SX-CG-WY-2509013</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1A76DA2F">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无烟煤采购 </w:t>
      </w:r>
      <w:r>
        <w:rPr>
          <w:rFonts w:hint="eastAsia" w:ascii="仿宋" w:hAnsi="仿宋" w:eastAsia="仿宋" w:cs="仿宋"/>
          <w:sz w:val="30"/>
          <w:szCs w:val="30"/>
          <w:u w:val="none"/>
          <w:lang w:val="en-US" w:eastAsia="zh-CN"/>
        </w:rPr>
        <w:t>项目。</w:t>
      </w:r>
    </w:p>
    <w:tbl>
      <w:tblPr>
        <w:tblStyle w:val="13"/>
        <w:tblW w:w="4735" w:type="pct"/>
        <w:jc w:val="center"/>
        <w:tblLayout w:type="fixed"/>
        <w:tblCellMar>
          <w:top w:w="0" w:type="dxa"/>
          <w:left w:w="108" w:type="dxa"/>
          <w:bottom w:w="0" w:type="dxa"/>
          <w:right w:w="108" w:type="dxa"/>
        </w:tblCellMar>
      </w:tblPr>
      <w:tblGrid>
        <w:gridCol w:w="723"/>
        <w:gridCol w:w="1769"/>
        <w:gridCol w:w="2215"/>
        <w:gridCol w:w="1312"/>
        <w:gridCol w:w="877"/>
        <w:gridCol w:w="951"/>
        <w:gridCol w:w="949"/>
      </w:tblGrid>
      <w:tr w14:paraId="11376495">
        <w:tblPrEx>
          <w:tblCellMar>
            <w:top w:w="0" w:type="dxa"/>
            <w:left w:w="108" w:type="dxa"/>
            <w:bottom w:w="0" w:type="dxa"/>
            <w:right w:w="108" w:type="dxa"/>
          </w:tblCellMar>
        </w:tblPrEx>
        <w:trPr>
          <w:trHeight w:val="467"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7D1488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23" w:type="dxa"/>
            <w:tcBorders>
              <w:top w:val="single" w:color="000000" w:sz="4" w:space="0"/>
              <w:left w:val="single" w:color="000000" w:sz="4" w:space="0"/>
              <w:bottom w:val="single" w:color="000000" w:sz="4" w:space="0"/>
              <w:right w:val="single" w:color="000000" w:sz="4" w:space="0"/>
            </w:tcBorders>
            <w:noWrap/>
            <w:vAlign w:val="center"/>
          </w:tcPr>
          <w:p w14:paraId="408609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032" w:type="dxa"/>
            <w:tcBorders>
              <w:top w:val="single" w:color="000000" w:sz="4" w:space="0"/>
              <w:left w:val="single" w:color="000000" w:sz="4" w:space="0"/>
              <w:bottom w:val="single" w:color="000000" w:sz="4" w:space="0"/>
              <w:right w:val="single" w:color="000000" w:sz="4" w:space="0"/>
            </w:tcBorders>
            <w:noWrap/>
            <w:vAlign w:val="center"/>
          </w:tcPr>
          <w:p w14:paraId="2E5BC51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204" w:type="dxa"/>
            <w:tcBorders>
              <w:top w:val="single" w:color="000000" w:sz="4" w:space="0"/>
              <w:left w:val="single" w:color="000000" w:sz="4" w:space="0"/>
              <w:bottom w:val="single" w:color="000000" w:sz="4" w:space="0"/>
              <w:right w:val="single" w:color="000000" w:sz="4" w:space="0"/>
            </w:tcBorders>
            <w:noWrap/>
            <w:vAlign w:val="center"/>
          </w:tcPr>
          <w:p w14:paraId="0F5A67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466514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4D3B2E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FEBF4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44BE3368">
        <w:tblPrEx>
          <w:tblCellMar>
            <w:top w:w="0" w:type="dxa"/>
            <w:left w:w="108" w:type="dxa"/>
            <w:bottom w:w="0" w:type="dxa"/>
            <w:right w:w="108" w:type="dxa"/>
          </w:tblCellMar>
        </w:tblPrEx>
        <w:trPr>
          <w:trHeight w:val="952" w:hRule="atLeast"/>
          <w:jc w:val="center"/>
        </w:trPr>
        <w:tc>
          <w:tcPr>
            <w:tcW w:w="663" w:type="dxa"/>
            <w:tcBorders>
              <w:top w:val="single" w:color="000000" w:sz="4" w:space="0"/>
              <w:left w:val="single" w:color="000000" w:sz="4" w:space="0"/>
              <w:bottom w:val="single" w:color="000000" w:sz="4" w:space="0"/>
              <w:right w:val="single" w:color="000000" w:sz="4" w:space="0"/>
            </w:tcBorders>
            <w:noWrap/>
            <w:vAlign w:val="center"/>
          </w:tcPr>
          <w:p w14:paraId="76F48B80">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auto"/>
                <w:kern w:val="0"/>
                <w:sz w:val="22"/>
                <w:szCs w:val="22"/>
                <w:u w:val="none"/>
                <w:lang w:val="en-US" w:eastAsia="zh-CN" w:bidi="ar"/>
              </w:rPr>
              <w:t>1</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5C7057EA">
            <w:pPr>
              <w:adjustRightInd/>
              <w:snapToGrid/>
              <w:spacing w:after="0"/>
              <w:jc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lang w:val="en-US" w:eastAsia="zh-CN"/>
              </w:rPr>
              <w:t>无烟煤</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14:paraId="0523A345">
            <w:pPr>
              <w:adjustRightInd/>
              <w:snapToGrid/>
              <w:spacing w:after="0"/>
              <w:jc w:val="center"/>
              <w:rPr>
                <w:rFonts w:hint="default" w:ascii="仿宋" w:hAnsi="仿宋" w:eastAsia="仿宋" w:cs="仿宋"/>
                <w:b w:val="0"/>
                <w:bCs w:val="0"/>
                <w:i w:val="0"/>
                <w:iCs w:val="0"/>
                <w:color w:val="000000"/>
                <w:sz w:val="24"/>
                <w:szCs w:val="24"/>
                <w:highlight w:val="none"/>
                <w:u w:val="none"/>
                <w:lang w:val="en-US" w:eastAsia="zh-CN"/>
              </w:rPr>
            </w:pPr>
            <w:r>
              <w:rPr>
                <w:rFonts w:hint="eastAsia" w:ascii="Times New Roman" w:hAnsi="Times New Roman" w:eastAsia="方正仿宋_GBK" w:cs="Times New Roman"/>
                <w:b w:val="0"/>
                <w:bCs w:val="0"/>
                <w:sz w:val="24"/>
                <w:szCs w:val="24"/>
                <w:lang w:val="en-US" w:eastAsia="zh-CN"/>
              </w:rPr>
              <w:t>1</w:t>
            </w:r>
            <w:r>
              <w:rPr>
                <w:rFonts w:hint="eastAsia" w:ascii="Times New Roman" w:hAnsi="Times New Roman" w:eastAsia="方正仿宋_GBK" w:cs="Times New Roman"/>
                <w:b w:val="0"/>
                <w:bCs w:val="0"/>
                <w:sz w:val="24"/>
                <w:szCs w:val="24"/>
              </w:rPr>
              <w:t>mm-2mm</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14:paraId="7ACB266F">
            <w:pPr>
              <w:keepNext w:val="0"/>
              <w:keepLines w:val="0"/>
              <w:widowControl/>
              <w:suppressLineNumbers w:val="0"/>
              <w:jc w:val="center"/>
              <w:textAlignment w:val="center"/>
              <w:rPr>
                <w:rFonts w:hint="default"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12</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5683BA5">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吨</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A4D2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590CC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056FA3C0">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717A6FC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按过磅实际供货量进行结算，若实际过磅数量超过预估数量则按预估数量结算，最终结算价不得超过合同总价。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7E55F56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币2</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2BACE096">
      <w:pPr>
        <w:spacing w:line="360" w:lineRule="auto"/>
        <w:jc w:val="center"/>
        <w:rPr>
          <w:rFonts w:hint="eastAsia" w:ascii="仿宋" w:hAnsi="仿宋" w:eastAsia="仿宋" w:cs="仿宋"/>
          <w:b/>
          <w:color w:val="auto"/>
          <w:sz w:val="44"/>
          <w:lang w:val="en-US" w:eastAsia="zh-CN"/>
        </w:rPr>
      </w:pP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无烟煤采购 </w:t>
      </w:r>
      <w:r>
        <w:rPr>
          <w:rFonts w:hint="eastAsia" w:ascii="仿宋" w:hAnsi="仿宋" w:eastAsia="仿宋" w:cs="仿宋"/>
          <w:color w:val="auto"/>
          <w:sz w:val="30"/>
          <w:szCs w:val="30"/>
          <w:u w:val="none"/>
          <w:lang w:val="en-US" w:eastAsia="zh-CN"/>
        </w:rPr>
        <w:t>项目。</w:t>
      </w:r>
    </w:p>
    <w:tbl>
      <w:tblPr>
        <w:tblStyle w:val="13"/>
        <w:tblW w:w="5228" w:type="pct"/>
        <w:jc w:val="center"/>
        <w:tblLayout w:type="fixed"/>
        <w:tblCellMar>
          <w:top w:w="0" w:type="dxa"/>
          <w:left w:w="108" w:type="dxa"/>
          <w:bottom w:w="0" w:type="dxa"/>
          <w:right w:w="108" w:type="dxa"/>
        </w:tblCellMar>
      </w:tblPr>
      <w:tblGrid>
        <w:gridCol w:w="758"/>
        <w:gridCol w:w="1460"/>
        <w:gridCol w:w="3275"/>
        <w:gridCol w:w="1224"/>
        <w:gridCol w:w="866"/>
        <w:gridCol w:w="981"/>
        <w:gridCol w:w="1149"/>
      </w:tblGrid>
      <w:tr w14:paraId="21CC8D02">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275"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163CFD95">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275"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59091CA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sz w:val="30"/>
          <w:szCs w:val="30"/>
          <w:lang w:val="en-US" w:eastAsia="zh-CN"/>
        </w:rPr>
        <w:t>按过磅实际供货量进行结算，若实际过磅数量超过预估数量则按预估数量结算，最终结算价不得超过合同总价。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437485B0">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无烟煤采购项目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773ECE"/>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10C39D4"/>
    <w:rsid w:val="1297576D"/>
    <w:rsid w:val="12BF4C87"/>
    <w:rsid w:val="12E70A09"/>
    <w:rsid w:val="15341747"/>
    <w:rsid w:val="164F6705"/>
    <w:rsid w:val="16646293"/>
    <w:rsid w:val="16FE5921"/>
    <w:rsid w:val="17507F90"/>
    <w:rsid w:val="17B042A1"/>
    <w:rsid w:val="1A2B7D96"/>
    <w:rsid w:val="1B25743C"/>
    <w:rsid w:val="1BD33B78"/>
    <w:rsid w:val="1BEC2FB3"/>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59E2C64"/>
    <w:rsid w:val="260706AD"/>
    <w:rsid w:val="26F76768"/>
    <w:rsid w:val="27AC61A6"/>
    <w:rsid w:val="27FE02E6"/>
    <w:rsid w:val="281F51A8"/>
    <w:rsid w:val="28C5756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8D46530"/>
    <w:rsid w:val="398E418A"/>
    <w:rsid w:val="3996009B"/>
    <w:rsid w:val="3997709B"/>
    <w:rsid w:val="39A55AE7"/>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7132DC"/>
    <w:rsid w:val="478F3581"/>
    <w:rsid w:val="47B96D86"/>
    <w:rsid w:val="47D615F1"/>
    <w:rsid w:val="47D93555"/>
    <w:rsid w:val="48034DA7"/>
    <w:rsid w:val="48174852"/>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0F33F5"/>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8071</Words>
  <Characters>8301</Characters>
  <Lines>53</Lines>
  <Paragraphs>15</Paragraphs>
  <TotalTime>0</TotalTime>
  <ScaleCrop>false</ScaleCrop>
  <LinksUpToDate>false</LinksUpToDate>
  <CharactersWithSpaces>9530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2025-11-07T08:01:06Z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ED2CA1C666754A908686BE72492061DC_13</vt:lpwstr>
  </property>
  <property fmtid="{D5CDD505-2E9C-101B-9397-08002B2CF9AE}" pid="4" name="KSOTemplateDocerSaveRecord">
    <vt:lpwstr>eyJoZGlkIjoiNTVkNzExMmNlZTllZmYzYjIzZDNlN2M3MDhjZjk3N2IiLCJ1c2VySWQiOiI0MTkyNjk4ODkifQ==</vt:lpwstr>
  </property>
</Properties>
</file>