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7416"/>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6月份仪器仪表采购项目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CG-YQ-2606004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6月份仪器仪表采购项目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绍兴市再生能源发展</w:t>
      </w:r>
      <w:r>
        <w:rPr>
          <w:rFonts w:hint="eastAsia" w:ascii="仿宋" w:hAnsi="仿宋" w:eastAsia="仿宋" w:cs="仿宋"/>
          <w:sz w:val="32"/>
          <w:szCs w:val="32"/>
          <w:highlight w:val="none"/>
          <w:lang w:eastAsia="zh-CN"/>
        </w:rPr>
        <w:t>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18</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27</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29</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29110"/>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6月份仪器仪表采购项目进行招标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（以下简称“报价人”）积极参与</w:t>
      </w:r>
      <w:r>
        <w:rPr>
          <w:rFonts w:hint="eastAsia" w:ascii="仿宋" w:hAnsi="仿宋" w:eastAsia="仿宋" w:cs="仿宋"/>
          <w:sz w:val="30"/>
          <w:szCs w:val="30"/>
        </w:rPr>
        <w:t>。</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SX-CG-YQ-2606004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800" w:type="pct"/>
        <w:jc w:val="center"/>
        <w:tblLayout w:type="fixed"/>
        <w:tblCellMar>
          <w:top w:w="0" w:type="dxa"/>
          <w:left w:w="108" w:type="dxa"/>
          <w:bottom w:w="0" w:type="dxa"/>
          <w:right w:w="108" w:type="dxa"/>
        </w:tblCellMar>
      </w:tblPr>
      <w:tblGrid>
        <w:gridCol w:w="672"/>
        <w:gridCol w:w="2145"/>
        <w:gridCol w:w="2599"/>
        <w:gridCol w:w="915"/>
        <w:gridCol w:w="932"/>
        <w:gridCol w:w="1653"/>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数字输出模块</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6ES7326-2BF41-0AB0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块</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B34367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交换机</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菲尼克斯以太网交换机FLSWITCHSFN7TX/FXST-2891110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5BD64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71C40F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速度编码器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NM701NR3 600ppr 9-30vdc</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F021AA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E4D50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SO2浓度50mg/m3 NO浓度100mg/m3 CO浓度50mg/m3 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2B07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865CE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79F7BC3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68B987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79CE8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E9F41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SO2浓度110mg/m3，NO浓度220mg/m3，CO浓度110mg/m3，8L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F2A97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9C305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15B95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6CCDDFD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7E5FDF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3B1AB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EC28B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SO2浓度170mg/m3，NO浓度340mg/m3，CO浓度170mg/m3，8L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7B46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830B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FCD95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146E2ED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38055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80715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2A82F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浓度50mg/m3，8L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9E8C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81F1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CB0A1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55DE36F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00173C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3D5DE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85CE9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浓度110mg/m3，8L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3878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DFF8F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D3A9E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7B43B59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BE14E5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702AE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C5A73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浓度170mg/m3，8L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91457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D351C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07C9B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564B2F1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A011AD3">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D190A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27586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浓度7.5mg/m3，8L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D20C6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1DBA0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0452DE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5D50A0F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915BF11">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3D0E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75734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浓度16.5mg/m3，8L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F30F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3ACD3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5D3E1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6F681337">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C51C15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5A12F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4D632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浓度25.5mg/m3，8L</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0AB0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458B3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5DDFD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2BD0221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D93D36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A8F4E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电磁阀</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FB8E6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4V220-08 DC24V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E57DA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EE822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DB099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95B56E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914E00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25A7C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电容式液位变速器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44409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TR-800GZ-HART/+-300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ED57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2E10A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4093D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安徽天康</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人民币10.3</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报价单位需保证产品是原厂原装的全新合格的正品，质量符合国家标准或生产技术规范（以要求高者为准），备件符合采购人使用或安装要求，并提供相关出厂报告及合格证明。生产周期能够满足采购人实际使用需求。验收时，采购人有权要求提供原厂进货凭证，如发现假冒伪劣产品，将取消中标资格并追究法律责任。</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二、报价人要求。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w:t>
      </w:r>
      <w:r>
        <w:rPr>
          <w:rFonts w:hint="eastAsia" w:ascii="仿宋" w:hAnsi="仿宋" w:eastAsia="仿宋" w:cs="仿宋"/>
          <w:sz w:val="30"/>
          <w:szCs w:val="30"/>
          <w:highlight w:val="none"/>
          <w:lang w:val="en-US" w:eastAsia="zh-CN"/>
        </w:rPr>
        <w:t>中华人民共和国境内注册，具有独立法人资格和独立承担民事责任的能力；报价人经营范围须包含相关的销售资质。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highlight w:val="none"/>
        </w:rPr>
        <w:t>2.</w:t>
      </w:r>
      <w:r>
        <w:rPr>
          <w:rFonts w:hint="eastAsia" w:ascii="仿宋" w:hAnsi="仿宋" w:eastAsia="仿宋" w:cs="仿宋"/>
          <w:sz w:val="30"/>
          <w:szCs w:val="30"/>
          <w:highlight w:val="none"/>
          <w:lang w:eastAsia="zh-CN"/>
        </w:rPr>
        <w:t>报价人</w:t>
      </w:r>
      <w:r>
        <w:rPr>
          <w:rFonts w:hint="eastAsia" w:ascii="仿宋" w:hAnsi="仿宋" w:eastAsia="仿宋" w:cs="仿宋"/>
          <w:sz w:val="30"/>
          <w:szCs w:val="30"/>
          <w:highlight w:val="none"/>
        </w:rPr>
        <w:t>在“信用中国”（www.creditchina.gov.cn）、中国政</w:t>
      </w:r>
      <w:r>
        <w:rPr>
          <w:rFonts w:hint="eastAsia" w:ascii="仿宋" w:hAnsi="仿宋" w:eastAsia="仿宋" w:cs="仿宋"/>
          <w:sz w:val="30"/>
          <w:szCs w:val="30"/>
        </w:rPr>
        <w:t>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6月26</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w:t>
      </w:r>
      <w:r>
        <w:rPr>
          <w:rFonts w:hint="eastAsia" w:ascii="仿宋_GB2312" w:eastAsia="仿宋_GB2312"/>
          <w:sz w:val="30"/>
          <w:szCs w:val="30"/>
          <w:lang w:val="en-US" w:eastAsia="zh-CN"/>
        </w:rPr>
        <w:t>报价</w:t>
      </w:r>
      <w:r>
        <w:rPr>
          <w:rFonts w:hint="eastAsia" w:ascii="仿宋_GB2312" w:eastAsia="仿宋_GB2312"/>
          <w:sz w:val="30"/>
          <w:szCs w:val="30"/>
        </w:rPr>
        <w:t>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w:t>
      </w:r>
      <w:r>
        <w:rPr>
          <w:rFonts w:hint="eastAsia" w:ascii="仿宋_GB2312" w:eastAsia="仿宋_GB2312"/>
          <w:sz w:val="30"/>
          <w:szCs w:val="30"/>
          <w:lang w:eastAsia="zh-CN"/>
        </w:rPr>
        <w:t>报价人</w:t>
      </w:r>
      <w:r>
        <w:rPr>
          <w:rFonts w:hint="eastAsia" w:ascii="仿宋_GB2312" w:eastAsia="仿宋_GB2312"/>
          <w:sz w:val="30"/>
          <w:szCs w:val="30"/>
        </w:rPr>
        <w:t>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本招标文件内有品牌要求，报价人需另行分装报价资格一览表，封装方式需与报价文件相同，且需在快递包装上醒目注明报价资格表、项目名称、询价编号，报价人联系人、联系人电话。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25</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w:t>
      </w:r>
      <w:r>
        <w:rPr>
          <w:rFonts w:hint="eastAsia" w:ascii="仿宋_GB2312" w:eastAsia="仿宋_GB2312" w:cs="Times New Roman"/>
          <w:sz w:val="30"/>
          <w:szCs w:val="30"/>
          <w:lang w:val="en-US" w:eastAsia="zh-CN"/>
        </w:rPr>
        <w:t>报价人</w:t>
      </w:r>
      <w:r>
        <w:rPr>
          <w:rFonts w:hint="eastAsia" w:ascii="仿宋_GB2312" w:hAnsi="Times New Roman" w:eastAsia="仿宋_GB2312" w:cs="Times New Roman"/>
          <w:sz w:val="30"/>
          <w:szCs w:val="30"/>
          <w:lang w:val="en-US" w:eastAsia="zh-CN"/>
        </w:rPr>
        <w:t>如对询价文件中采购内容的技术规范/型号规格存在疑义，应在投标前向采购人进行咨询。开标后采购人不再回答相关问题。若</w:t>
      </w:r>
      <w:r>
        <w:rPr>
          <w:rFonts w:hint="eastAsia" w:ascii="仿宋_GB2312" w:eastAsia="仿宋_GB2312" w:cs="Times New Roman"/>
          <w:sz w:val="30"/>
          <w:szCs w:val="30"/>
          <w:lang w:val="en-US" w:eastAsia="zh-CN"/>
        </w:rPr>
        <w:t>报价人</w:t>
      </w:r>
      <w:r>
        <w:rPr>
          <w:rFonts w:hint="eastAsia" w:ascii="仿宋_GB2312" w:hAnsi="Times New Roman" w:eastAsia="仿宋_GB2312" w:cs="Times New Roman"/>
          <w:sz w:val="30"/>
          <w:szCs w:val="30"/>
          <w:lang w:val="en-US" w:eastAsia="zh-CN"/>
        </w:rPr>
        <w:t>提供货品与供货要求不符，则由</w:t>
      </w:r>
      <w:r>
        <w:rPr>
          <w:rFonts w:hint="eastAsia" w:ascii="仿宋_GB2312" w:eastAsia="仿宋_GB2312" w:cs="Times New Roman"/>
          <w:sz w:val="30"/>
          <w:szCs w:val="30"/>
          <w:lang w:val="en-US" w:eastAsia="zh-CN"/>
        </w:rPr>
        <w:t>报价人</w:t>
      </w:r>
      <w:r>
        <w:rPr>
          <w:rFonts w:hint="eastAsia" w:ascii="仿宋_GB2312" w:hAnsi="Times New Roman" w:eastAsia="仿宋_GB2312" w:cs="Times New Roman"/>
          <w:sz w:val="30"/>
          <w:szCs w:val="30"/>
          <w:lang w:val="en-US" w:eastAsia="zh-CN"/>
        </w:rPr>
        <w:t>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6月18</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340F9A8A">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4EAA4351">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5F8285EA">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3774C71A">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 w:hAnsi="仿宋" w:eastAsia="仿宋" w:cs="仿宋"/>
          <w:b/>
          <w:snapToGrid w:val="0"/>
          <w:color w:val="000000"/>
          <w:kern w:val="44"/>
          <w:sz w:val="44"/>
          <w:szCs w:val="44"/>
          <w:lang w:val="en-US" w:eastAsia="zh-CN" w:bidi="ar-SA"/>
        </w:rPr>
      </w:pPr>
    </w:p>
    <w:p w14:paraId="58EEE28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snapToGrid w:val="0"/>
          <w:color w:val="000000"/>
          <w:kern w:val="44"/>
          <w:sz w:val="44"/>
          <w:szCs w:val="44"/>
          <w:lang w:val="en-US" w:eastAsia="zh-CN" w:bidi="ar-SA"/>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（四）“供货方”系指向经评审确定为本次询价成交商家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w:t>
      </w:r>
      <w:r>
        <w:rPr>
          <w:rFonts w:hint="eastAsia" w:ascii="仿宋_GB2312" w:hAnsi="宋体" w:eastAsia="仿宋_GB2312"/>
          <w:sz w:val="30"/>
          <w:szCs w:val="30"/>
          <w:lang w:eastAsia="zh-CN"/>
        </w:rPr>
        <w:t>所述</w:t>
      </w:r>
      <w:r>
        <w:rPr>
          <w:rFonts w:hint="eastAsia" w:ascii="仿宋_GB2312" w:hAnsi="宋体" w:eastAsia="仿宋_GB2312"/>
          <w:sz w:val="30"/>
          <w:szCs w:val="30"/>
        </w:rPr>
        <w:t>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highlight w:val="none"/>
        </w:rPr>
      </w:pPr>
    </w:p>
    <w:p w14:paraId="5CB04477">
      <w:pPr>
        <w:rPr>
          <w:rFonts w:hint="eastAsia" w:ascii="仿宋" w:hAnsi="仿宋" w:eastAsia="仿宋" w:cs="仿宋"/>
          <w:snapToGrid w:val="0"/>
          <w:sz w:val="44"/>
          <w:szCs w:val="44"/>
          <w:highlight w:val="none"/>
        </w:rPr>
      </w:pPr>
    </w:p>
    <w:p w14:paraId="13A683CE">
      <w:pPr>
        <w:pStyle w:val="6"/>
        <w:rPr>
          <w:rFonts w:hint="eastAsia" w:ascii="仿宋" w:hAnsi="仿宋" w:eastAsia="仿宋" w:cs="仿宋"/>
          <w:snapToGrid w:val="0"/>
          <w:sz w:val="44"/>
          <w:szCs w:val="44"/>
          <w:highlight w:val="none"/>
        </w:rPr>
      </w:pPr>
    </w:p>
    <w:p w14:paraId="1643322B">
      <w:pPr>
        <w:pStyle w:val="12"/>
        <w:rPr>
          <w:rFonts w:hint="eastAsia" w:ascii="仿宋" w:hAnsi="仿宋" w:eastAsia="仿宋" w:cs="仿宋"/>
          <w:snapToGrid w:val="0"/>
          <w:sz w:val="44"/>
          <w:szCs w:val="44"/>
          <w:highlight w:val="none"/>
        </w:rPr>
      </w:pPr>
    </w:p>
    <w:p w14:paraId="6F7B1054">
      <w:pPr>
        <w:rPr>
          <w:rFonts w:hint="eastAsia" w:ascii="仿宋" w:hAnsi="仿宋" w:eastAsia="仿宋" w:cs="仿宋"/>
          <w:snapToGrid w:val="0"/>
          <w:sz w:val="44"/>
          <w:szCs w:val="44"/>
          <w:highlight w:val="none"/>
        </w:rPr>
      </w:pPr>
    </w:p>
    <w:p w14:paraId="070A749E">
      <w:pPr>
        <w:rPr>
          <w:rFonts w:hint="eastAsia" w:ascii="仿宋" w:hAnsi="仿宋" w:eastAsia="仿宋" w:cs="仿宋"/>
          <w:snapToGrid w:val="0"/>
          <w:sz w:val="44"/>
          <w:szCs w:val="44"/>
          <w:highlight w:val="none"/>
        </w:rPr>
      </w:pPr>
    </w:p>
    <w:p w14:paraId="7DEBCF3A">
      <w:pPr>
        <w:rPr>
          <w:rFonts w:hint="eastAsia" w:ascii="仿宋" w:hAnsi="仿宋" w:eastAsia="仿宋" w:cs="仿宋"/>
          <w:snapToGrid w:val="0"/>
          <w:sz w:val="44"/>
          <w:szCs w:val="44"/>
          <w:highlight w:val="none"/>
        </w:rPr>
      </w:pPr>
    </w:p>
    <w:p w14:paraId="74901F0A">
      <w:pPr>
        <w:rPr>
          <w:rFonts w:hint="eastAsia" w:ascii="仿宋" w:hAnsi="仿宋" w:eastAsia="仿宋" w:cs="仿宋"/>
          <w:snapToGrid w:val="0"/>
          <w:sz w:val="44"/>
          <w:szCs w:val="44"/>
          <w:highlight w:val="none"/>
        </w:rPr>
      </w:pPr>
    </w:p>
    <w:p w14:paraId="711401CF">
      <w:pPr>
        <w:rPr>
          <w:rFonts w:hint="eastAsia" w:ascii="仿宋" w:hAnsi="仿宋" w:eastAsia="仿宋" w:cs="仿宋"/>
          <w:snapToGrid w:val="0"/>
          <w:sz w:val="44"/>
          <w:szCs w:val="44"/>
          <w:highlight w:val="none"/>
        </w:rPr>
      </w:pPr>
    </w:p>
    <w:p w14:paraId="6489D0A7">
      <w:pPr>
        <w:rPr>
          <w:rFonts w:hint="eastAsia" w:ascii="仿宋" w:hAnsi="仿宋" w:eastAsia="仿宋" w:cs="仿宋"/>
          <w:snapToGrid w:val="0"/>
          <w:sz w:val="44"/>
          <w:szCs w:val="44"/>
          <w:highlight w:val="none"/>
        </w:rPr>
      </w:pPr>
    </w:p>
    <w:p w14:paraId="442412A4">
      <w:pPr>
        <w:rPr>
          <w:rFonts w:hint="eastAsia" w:ascii="仿宋" w:hAnsi="仿宋" w:eastAsia="仿宋" w:cs="仿宋"/>
          <w:snapToGrid w:val="0"/>
          <w:sz w:val="44"/>
          <w:szCs w:val="44"/>
          <w:highlight w:val="none"/>
        </w:rPr>
      </w:pPr>
    </w:p>
    <w:p w14:paraId="3B113E72">
      <w:pPr>
        <w:pStyle w:val="4"/>
        <w:numPr>
          <w:ilvl w:val="0"/>
          <w:numId w:val="0"/>
        </w:numPr>
        <w:jc w:val="center"/>
        <w:rPr>
          <w:rFonts w:hint="eastAsia" w:ascii="仿宋" w:hAnsi="仿宋" w:eastAsia="仿宋" w:cs="仿宋"/>
          <w:b w:val="0"/>
          <w:bCs/>
          <w:snapToGrid w:val="0"/>
          <w:sz w:val="44"/>
          <w:highlight w:val="none"/>
        </w:rPr>
      </w:pPr>
      <w:bookmarkStart w:id="11" w:name="_Toc11038"/>
      <w:r>
        <w:rPr>
          <w:rFonts w:hint="eastAsia" w:ascii="仿宋" w:hAnsi="仿宋" w:eastAsia="仿宋" w:cs="仿宋"/>
          <w:snapToGrid w:val="0"/>
          <w:sz w:val="44"/>
          <w:szCs w:val="44"/>
          <w:highlight w:val="none"/>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一、</w:t>
      </w:r>
      <w:r>
        <w:rPr>
          <w:rFonts w:hint="eastAsia" w:ascii="仿宋" w:hAnsi="仿宋" w:eastAsia="仿宋" w:cs="仿宋"/>
          <w:color w:val="auto"/>
          <w:kern w:val="2"/>
          <w:sz w:val="30"/>
          <w:szCs w:val="30"/>
          <w:highlight w:val="none"/>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必须满足采购人售后服务要求。如产品使用过</w:t>
      </w:r>
      <w:r>
        <w:rPr>
          <w:rFonts w:hint="eastAsia" w:ascii="仿宋" w:hAnsi="仿宋" w:eastAsia="仿宋" w:cs="仿宋"/>
          <w:color w:val="auto"/>
          <w:kern w:val="2"/>
          <w:sz w:val="30"/>
          <w:szCs w:val="30"/>
          <w:lang w:eastAsia="zh-CN"/>
        </w:rPr>
        <w:t>程中</w:t>
      </w:r>
      <w:r>
        <w:rPr>
          <w:rFonts w:hint="eastAsia" w:ascii="仿宋" w:hAnsi="仿宋" w:eastAsia="仿宋" w:cs="仿宋"/>
          <w:color w:val="auto"/>
          <w:kern w:val="2"/>
          <w:sz w:val="30"/>
          <w:szCs w:val="30"/>
        </w:rPr>
        <w:t>发生问题，</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22672"/>
      <w:r>
        <w:rPr>
          <w:rFonts w:hint="eastAsia" w:ascii="仿宋" w:hAnsi="仿宋" w:eastAsia="仿宋" w:cs="仿宋"/>
          <w:snapToGrid w:val="0"/>
          <w:sz w:val="44"/>
          <w:szCs w:val="44"/>
          <w:lang w:val="en-US" w:eastAsia="zh-CN"/>
        </w:rPr>
        <w:t>合同主要条款</w:t>
      </w:r>
      <w:bookmarkEnd w:id="13"/>
      <w:r>
        <w:rPr>
          <w:rFonts w:hint="eastAsia" w:ascii="仿宋" w:hAnsi="仿宋" w:eastAsia="仿宋" w:cs="仿宋"/>
          <w:snapToGrid w:val="0"/>
          <w:sz w:val="44"/>
          <w:szCs w:val="44"/>
          <w:lang w:val="en-US" w:eastAsia="zh-CN"/>
        </w:rPr>
        <w:t>（供参考）</w:t>
      </w:r>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品牌</w:t>
            </w:r>
          </w:p>
        </w:tc>
        <w:tc>
          <w:tcPr>
            <w:tcW w:w="1633" w:type="dxa"/>
            <w:tcBorders>
              <w:top w:val="single" w:color="auto" w:sz="4" w:space="0"/>
              <w:left w:val="nil"/>
              <w:bottom w:val="single" w:color="auto" w:sz="4" w:space="0"/>
              <w:right w:val="single" w:color="auto" w:sz="4" w:space="0"/>
            </w:tcBorders>
            <w:noWrap w:val="0"/>
            <w:vAlign w:val="center"/>
          </w:tcPr>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本项目为单次供货项目，根据采购人实际要求供货期进行供货。供货方接到采购人送货通知后，3个工作日内将货物如数送至采购人指定</w:t>
      </w:r>
      <w:r>
        <w:rPr>
          <w:rFonts w:hint="eastAsia" w:ascii="方正仿宋_GBK" w:hAnsi="方正仿宋_GBK" w:eastAsia="方正仿宋_GBK" w:cs="方正仿宋_GBK"/>
          <w:sz w:val="28"/>
          <w:szCs w:val="28"/>
          <w:highlight w:val="none"/>
          <w:lang w:val="en-US" w:eastAsia="zh-CN"/>
        </w:rPr>
        <w:t>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保证产品是原厂原装的全新合格的正品，质量符合国家标准或生产技术规范（以要求高者为准），备件符合采购人使用或安装要求，并提供相关出厂报告及合格证明。生产周期能够满足采购人实际使用需求。验收时，采购人有权要求提供原厂进货凭证，如发现假冒伪劣产品，将取消中标资格并追究法律责任</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w:t>
      </w:r>
      <w:r>
        <w:rPr>
          <w:rFonts w:hint="eastAsia" w:ascii="方正仿宋_GBK" w:hAnsi="方正仿宋_GBK" w:eastAsia="方正仿宋_GBK" w:cs="方正仿宋_GBK"/>
          <w:sz w:val="28"/>
          <w:szCs w:val="28"/>
          <w:highlight w:val="none"/>
        </w:rPr>
        <w:t>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yellow"/>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供方保证其供应的本合同标的是全新的，技术水平先进、成熟、质量优良、安全可靠、经济</w:t>
      </w:r>
      <w:r>
        <w:rPr>
          <w:rFonts w:hint="eastAsia" w:ascii="方正仿宋_GBK" w:hAnsi="方正仿宋_GBK" w:eastAsia="方正仿宋_GBK" w:cs="方正仿宋_GBK"/>
          <w:sz w:val="28"/>
          <w:szCs w:val="28"/>
        </w:rPr>
        <w:t>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eastAsia="zh-CN"/>
        </w:rPr>
        <w:t>按照《中华人民共和国民法典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w:t>
      </w:r>
      <w:r>
        <w:rPr>
          <w:rFonts w:hint="eastAsia" w:ascii="方正仿宋_GBK" w:hAnsi="方正仿宋_GBK" w:eastAsia="方正仿宋_GBK" w:cs="方正仿宋_GBK"/>
          <w:sz w:val="28"/>
          <w:szCs w:val="28"/>
          <w:lang w:eastAsia="zh-CN"/>
        </w:rPr>
        <w:t>程中</w:t>
      </w:r>
      <w:r>
        <w:rPr>
          <w:rFonts w:hint="eastAsia" w:ascii="方正仿宋_GBK" w:hAnsi="方正仿宋_GBK" w:eastAsia="方正仿宋_GBK" w:cs="方正仿宋_GBK"/>
          <w:sz w:val="28"/>
          <w:szCs w:val="28"/>
        </w:rPr>
        <w:t>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39AC17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bookmarkStart w:id="14" w:name="_Toc16103"/>
    </w:p>
    <w:p w14:paraId="28EFD59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FC20F0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B087592">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060EA5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3906F8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D7D457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4A18CA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C7A017E">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9C3896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8608C9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153976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74BFA0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CFC3F42">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6月份仪器仪表采购项目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6月份仪器仪表采购项目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SX-CG-YQ-2606004</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1F00A2F0">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6月份仪器仪表采购 </w:t>
      </w:r>
      <w:r>
        <w:rPr>
          <w:rFonts w:hint="eastAsia" w:ascii="仿宋" w:hAnsi="仿宋" w:eastAsia="仿宋" w:cs="仿宋"/>
          <w:sz w:val="30"/>
          <w:szCs w:val="30"/>
          <w:u w:val="none"/>
          <w:lang w:val="en-US" w:eastAsia="zh-CN"/>
        </w:rPr>
        <w:t>项目。</w:t>
      </w:r>
    </w:p>
    <w:tbl>
      <w:tblPr>
        <w:tblStyle w:val="13"/>
        <w:tblW w:w="4800" w:type="pct"/>
        <w:jc w:val="center"/>
        <w:tblLayout w:type="fixed"/>
        <w:tblCellMar>
          <w:top w:w="0" w:type="dxa"/>
          <w:left w:w="108" w:type="dxa"/>
          <w:bottom w:w="0" w:type="dxa"/>
          <w:right w:w="108" w:type="dxa"/>
        </w:tblCellMar>
      </w:tblPr>
      <w:tblGrid>
        <w:gridCol w:w="672"/>
        <w:gridCol w:w="2146"/>
        <w:gridCol w:w="2599"/>
        <w:gridCol w:w="916"/>
        <w:gridCol w:w="932"/>
        <w:gridCol w:w="1653"/>
      </w:tblGrid>
      <w:tr w14:paraId="4C070E31">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3972B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6DEF3D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49F3CA4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6" w:type="dxa"/>
            <w:tcBorders>
              <w:top w:val="single" w:color="000000" w:sz="4" w:space="0"/>
              <w:left w:val="single" w:color="000000" w:sz="4" w:space="0"/>
              <w:bottom w:val="single" w:color="000000" w:sz="4" w:space="0"/>
              <w:right w:val="single" w:color="000000" w:sz="4" w:space="0"/>
            </w:tcBorders>
            <w:noWrap/>
            <w:vAlign w:val="center"/>
          </w:tcPr>
          <w:p w14:paraId="7AD8F6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C1711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653" w:type="dxa"/>
            <w:tcBorders>
              <w:top w:val="single" w:color="000000" w:sz="4" w:space="0"/>
              <w:left w:val="single" w:color="000000" w:sz="4" w:space="0"/>
              <w:bottom w:val="single" w:color="000000" w:sz="4" w:space="0"/>
              <w:right w:val="single" w:color="000000" w:sz="4" w:space="0"/>
            </w:tcBorders>
            <w:noWrap/>
            <w:vAlign w:val="center"/>
          </w:tcPr>
          <w:p w14:paraId="088B63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42F0A70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E613AB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00AC8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数字输出模块</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EC204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6ES7326-2BF41-0AB0</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D0A49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9B336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块</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78FB54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1674D8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8C9BE1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D14B5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交换机</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A380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菲尼克斯以太网交换机FLSWITCHSFN7TX/FXST-2891110</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E9018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8BFDC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64141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bookmarkStart w:id="22" w:name="_GoBack"/>
            <w:bookmarkEnd w:id="22"/>
          </w:p>
        </w:tc>
      </w:tr>
      <w:tr w14:paraId="7C7BF71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6C543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FBC36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速度编码器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0937C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NM701NR3 600ppr 9-30vdc</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E2AA6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7FEB3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4F2FA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72518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38F3FE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EFF94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763DB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SO2浓度50mg/m3 NO浓度100mg/m3 CO浓度50mg/m3 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74C1B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30903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956F1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66C6171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1100A4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5CBB7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34DCC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SO2浓度110mg/m3，NO浓度220mg/m3，CO浓度110mg/m3，8L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74BDF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74E9B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DCF75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5168806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918CF8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ADA84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F1E6F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SO2浓度170mg/m3，NO浓度340mg/m3，CO浓度170mg/m3，8L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4EDFA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3D060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65CFCE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47080A6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F632E7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F7A06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1D87F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浓度50mg/m3，8L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8F4D5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BC6BC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AF7FF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66A8AD8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39F49C4">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F8B86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C75AA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浓度110mg/m3，8L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EA2D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E2C74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D83E2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27272857">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0E0A1B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FA88E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58D3A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浓度170mg/m3，8L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90F4F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AE47D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0460F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6911440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917B8A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468FA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7F9E6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浓度7.5mg/m3，8L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76178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87446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2F337F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039A155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DC3B9F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191A9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9D4A2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浓度16.5mg/m3，8L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83FCB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E4C4B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57FBFF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30F9798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F868CE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4A72B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9C829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浓度25.5mg/m3，8L</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8B7E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F1942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12A7DA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FF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杭州新世纪标气</w:t>
            </w:r>
          </w:p>
        </w:tc>
      </w:tr>
      <w:tr w14:paraId="4588A9D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E0B330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66EF9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电磁阀</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023AF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4V220-08 DC24V</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AEE2B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3394F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48EC9A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CFAB3A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D9922C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B9848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电容式液位变速器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80424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TR-800GZ-HART/+-300</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AB776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A537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653" w:type="dxa"/>
            <w:tcBorders>
              <w:top w:val="single" w:color="000000" w:sz="4" w:space="0"/>
              <w:left w:val="single" w:color="000000" w:sz="4" w:space="0"/>
              <w:bottom w:val="single" w:color="000000" w:sz="4" w:space="0"/>
              <w:right w:val="single" w:color="000000" w:sz="4" w:space="0"/>
            </w:tcBorders>
            <w:noWrap w:val="0"/>
            <w:vAlign w:val="center"/>
          </w:tcPr>
          <w:p w14:paraId="3122BC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FF0000"/>
                <w:kern w:val="0"/>
                <w:sz w:val="24"/>
                <w:szCs w:val="24"/>
                <w:highlight w:val="none"/>
                <w:u w:val="none"/>
                <w:lang w:val="en-US" w:eastAsia="zh-CN" w:bidi="ar"/>
              </w:rPr>
              <w:t>安徽天康</w:t>
            </w:r>
          </w:p>
        </w:tc>
      </w:tr>
    </w:tbl>
    <w:p w14:paraId="23DEEFDA">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4C21A976">
      <w:pPr>
        <w:keepNext w:val="0"/>
        <w:keepLines w:val="0"/>
        <w:pageBreakBefore w:val="0"/>
        <w:widowControl w:val="0"/>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2、品牌填报要求：报价人须对报价表中每一项产品的品牌进行明确填报。</w:t>
      </w:r>
    </w:p>
    <w:p w14:paraId="0670307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①关于指定品牌： 表格内“品牌”栏中以红色字体标注的内容为采购人指定的唯一品牌。报价人必须完全响应该品牌，严禁修改、替换或提供备选品牌。若报价人擅自修改或未按要求响应，将导致其投标被否决（或该项报价无效）。</w:t>
      </w:r>
    </w:p>
    <w:p w14:paraId="54443D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②关于非指定品牌： 表格内未以红色字体标注的产品，报价人可根据自身产品情况如实填写具体品牌。</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A987887">
      <w:pPr>
        <w:jc w:val="left"/>
        <w:outlineLvl w:val="0"/>
        <w:rPr>
          <w:rStyle w:val="20"/>
          <w:rFonts w:hint="eastAsia" w:ascii="仿宋" w:hAnsi="仿宋" w:eastAsia="仿宋" w:cs="仿宋"/>
          <w:sz w:val="30"/>
        </w:rPr>
      </w:pPr>
    </w:p>
    <w:p w14:paraId="77D03496">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7" w:name="_Toc25577"/>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6月份仪器仪表采购 </w:t>
      </w:r>
      <w:r>
        <w:rPr>
          <w:rFonts w:hint="eastAsia" w:ascii="仿宋" w:hAnsi="仿宋" w:eastAsia="仿宋" w:cs="仿宋"/>
          <w:sz w:val="30"/>
          <w:szCs w:val="30"/>
          <w:u w:val="none"/>
          <w:lang w:val="en-US" w:eastAsia="zh-CN"/>
        </w:rPr>
        <w:t>项目。</w:t>
      </w:r>
    </w:p>
    <w:tbl>
      <w:tblPr>
        <w:tblStyle w:val="13"/>
        <w:tblW w:w="6070" w:type="pct"/>
        <w:jc w:val="center"/>
        <w:tblLayout w:type="fixed"/>
        <w:tblCellMar>
          <w:top w:w="0" w:type="dxa"/>
          <w:left w:w="108" w:type="dxa"/>
          <w:bottom w:w="0" w:type="dxa"/>
          <w:right w:w="108" w:type="dxa"/>
        </w:tblCellMar>
      </w:tblPr>
      <w:tblGrid>
        <w:gridCol w:w="672"/>
        <w:gridCol w:w="2146"/>
        <w:gridCol w:w="2599"/>
        <w:gridCol w:w="916"/>
        <w:gridCol w:w="932"/>
        <w:gridCol w:w="1128"/>
        <w:gridCol w:w="1229"/>
        <w:gridCol w:w="1653"/>
      </w:tblGrid>
      <w:tr w14:paraId="08CF5007">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675DF2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22849E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263FA3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07127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D63DF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1B2C11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DA29B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p w14:paraId="2B4EBE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（元）</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76A30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B74A1A3">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5A26D5A4">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2EC290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数字输出模块</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CF139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6ES7326-2BF41-0AB0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33E8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D5F8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块</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B1D01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DDADC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DA3F8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54A43CA">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364A2EF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4D83FE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交换机</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EE139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菲尼克斯以太网交换机FLSWITCHSFN7TX/FXST-2891110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5F2D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B2CA7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B0C7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8CDD0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0227A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22076B3">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41EE4A92">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060A17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速度编码器</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1474E9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NM701NR3 600ppr 9-30vdc</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C0048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371DF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08F9F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91800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60D8A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9D2DC95">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7012E9C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0EC69A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3E887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SO2浓度50mg/m3 NO浓度100mg/m3 CO浓度50mg/m3 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77D4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7A77D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5EE7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C70B4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CE3B1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57826661">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612342C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51863E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1EC179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SO2浓度110mg/m3，NO浓度220mg/m3，CO浓度110mg/m3，8L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3CE3F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B8DFA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D7EC5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AB8A2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7C618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037D5C6D">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475FC14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60A8FE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SO2/NO/CO混合标气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C16A0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SO2浓度170mg/m3，NO浓度340mg/m3，CO浓度170mg/m3，8L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0425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455B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1132A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0EA67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D965E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1FCB6865">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F5D35B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135A53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1CED04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浓度50mg/m3，8L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D9A1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87FAD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75F3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000EE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78B60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5B62F450">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07D8BC3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2BBF0A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1D900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浓度110mg/m3，8L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1D3BD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26470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9965C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3E6F3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D766F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6F4DB610">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07D1DDD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0C8CAD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HCL标气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584A2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浓度170mg/m3，8L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F9AC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E0BD4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84EEA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6D263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29C3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521F0E76">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54B0AC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454049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7BEEE9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浓度7.5mg/m3，8L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E16D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76E54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BC2A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C8D4E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F9C3D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4BD4915F">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442595CB">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58AC4C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BE0B0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浓度16.5mg/m3，8L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D64C7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5E6D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66F1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19D00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51BBC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6A95C099">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42F83AD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5A2C59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NH3标气</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49045D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浓度25.5mg/m3，8L</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C0D8B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322C5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瓶</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F6995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C3289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FB5FC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杭州新世纪标气</w:t>
            </w:r>
          </w:p>
        </w:tc>
      </w:tr>
      <w:tr w14:paraId="16AC4745">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6C5D9715">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46EFE8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电磁阀</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EE124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4V220-08 DC24V</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DA4FD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F2BFA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F666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18282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664F8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64D0E93">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3EFF3FC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772525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电容式液位变速器</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2C5B7F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TR-800GZ-HART/+-300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E1438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D64F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850EE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89347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26954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安徽天康</w:t>
            </w:r>
          </w:p>
        </w:tc>
      </w:tr>
    </w:tbl>
    <w:p w14:paraId="3B9C0059">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w:t>
      </w:r>
      <w:r>
        <w:rPr>
          <w:rFonts w:hint="eastAsia" w:ascii="仿宋" w:hAnsi="仿宋" w:eastAsia="仿宋" w:cs="仿宋"/>
          <w:sz w:val="30"/>
          <w:szCs w:val="30"/>
          <w:highlight w:val="none"/>
          <w:lang w:val="en-US" w:eastAsia="zh-CN"/>
        </w:rPr>
        <w:t>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币10.3</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该采购项目履约保证金为合同价的5%。供货方于合同签订前将履约保证金打入采购人指定账户。合同履行完成后，履约保证金转为质保金。质保期满后，采购人退还质保金（无息）。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3、供货方在合同履行期间出现违约行为，采购人可扣除相应履约保证金/质保金，并向供货方追究相应经济损失。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供货方在收到采购人拟订合同（所中标项目）电子版本后，确认无误并签署盖章，2天内邮寄给采购人。合同上的签订时间与采购人实际收到合同时间原则上不超过5天。否则视为供货方自动放弃，采购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5646FB3B">
      <w:pPr>
        <w:pStyle w:val="2"/>
        <w:rPr>
          <w:rFonts w:hint="eastAsia" w:ascii="仿宋" w:hAnsi="仿宋" w:eastAsia="仿宋" w:cs="仿宋"/>
          <w:b/>
          <w:color w:val="auto"/>
          <w:sz w:val="44"/>
          <w:lang w:val="en-US" w:eastAsia="zh-CN"/>
        </w:rPr>
      </w:pPr>
    </w:p>
    <w:p w14:paraId="2542DD00">
      <w:pPr>
        <w:pStyle w:val="2"/>
        <w:rPr>
          <w:rFonts w:hint="eastAsia" w:ascii="仿宋" w:hAnsi="仿宋" w:eastAsia="仿宋" w:cs="仿宋"/>
          <w:b/>
          <w:color w:val="auto"/>
          <w:sz w:val="44"/>
          <w:lang w:val="en-US" w:eastAsia="zh-CN"/>
        </w:rPr>
      </w:pPr>
    </w:p>
    <w:p w14:paraId="077A871E">
      <w:pPr>
        <w:pStyle w:val="2"/>
        <w:rPr>
          <w:rFonts w:hint="eastAsia" w:ascii="仿宋" w:hAnsi="仿宋" w:eastAsia="仿宋" w:cs="仿宋"/>
          <w:b/>
          <w:color w:val="auto"/>
          <w:sz w:val="44"/>
          <w:lang w:val="en-US" w:eastAsia="zh-CN"/>
        </w:rPr>
      </w:pPr>
    </w:p>
    <w:p w14:paraId="42AB5701">
      <w:pPr>
        <w:pStyle w:val="2"/>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8" w:name="_Toc13602"/>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6月份仪器仪表采购 </w:t>
      </w:r>
      <w:r>
        <w:rPr>
          <w:rFonts w:hint="eastAsia" w:ascii="仿宋" w:hAnsi="仿宋" w:eastAsia="仿宋" w:cs="仿宋"/>
          <w:color w:val="auto"/>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163CFD95">
        <w:tblPrEx>
          <w:tblCellMar>
            <w:top w:w="0" w:type="dxa"/>
            <w:left w:w="108" w:type="dxa"/>
            <w:bottom w:w="0" w:type="dxa"/>
            <w:right w:w="108" w:type="dxa"/>
          </w:tblCellMar>
        </w:tblPrEx>
        <w:trPr>
          <w:trHeight w:val="162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w:t>
      </w:r>
      <w:r>
        <w:rPr>
          <w:rFonts w:hint="eastAsia" w:ascii="仿宋" w:hAnsi="仿宋" w:eastAsia="仿宋" w:cs="仿宋"/>
          <w:color w:val="auto"/>
          <w:sz w:val="30"/>
          <w:szCs w:val="30"/>
          <w:highlight w:val="none"/>
          <w:lang w:val="en-US" w:eastAsia="zh-CN"/>
        </w:rPr>
        <w:t>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48CA406">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3165678"/>
      <w:bookmarkStart w:id="20" w:name="_Toc10883932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6月份仪器仪表采购项目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97EA3633"/>
    <w:multiLevelType w:val="singleLevel"/>
    <w:tmpl w:val="97EA3633"/>
    <w:lvl w:ilvl="0" w:tentative="0">
      <w:start w:val="1"/>
      <w:numFmt w:val="decimal"/>
      <w:suff w:val="nothing"/>
      <w:lvlText w:val="%1"/>
      <w:lvlJc w:val="left"/>
      <w:pPr>
        <w:ind w:left="635" w:leftChars="0" w:hanging="42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38B2FC06"/>
    <w:multiLevelType w:val="singleLevel"/>
    <w:tmpl w:val="38B2FC0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8"/>
  </w:num>
  <w:num w:numId="4">
    <w:abstractNumId w:val="3"/>
  </w:num>
  <w:num w:numId="5">
    <w:abstractNumId w:val="5"/>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57758B"/>
    <w:rsid w:val="027B64C4"/>
    <w:rsid w:val="02834D04"/>
    <w:rsid w:val="038D5656"/>
    <w:rsid w:val="04464BDF"/>
    <w:rsid w:val="04605697"/>
    <w:rsid w:val="059E5ADD"/>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61769D"/>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8B21538"/>
    <w:rsid w:val="1A2B7D96"/>
    <w:rsid w:val="1B25743C"/>
    <w:rsid w:val="1BD33B78"/>
    <w:rsid w:val="1BEC2FB3"/>
    <w:rsid w:val="1C540D8D"/>
    <w:rsid w:val="1CDA4664"/>
    <w:rsid w:val="1CE262BC"/>
    <w:rsid w:val="1D6D770B"/>
    <w:rsid w:val="1DC040B9"/>
    <w:rsid w:val="1E1A21EF"/>
    <w:rsid w:val="1EC02DEE"/>
    <w:rsid w:val="203B090D"/>
    <w:rsid w:val="20917F17"/>
    <w:rsid w:val="21135480"/>
    <w:rsid w:val="212C3971"/>
    <w:rsid w:val="214D7086"/>
    <w:rsid w:val="21BA7E4E"/>
    <w:rsid w:val="2237459C"/>
    <w:rsid w:val="22DF5956"/>
    <w:rsid w:val="22ED7F5E"/>
    <w:rsid w:val="231F50B3"/>
    <w:rsid w:val="24130D0C"/>
    <w:rsid w:val="247A3733"/>
    <w:rsid w:val="24937D46"/>
    <w:rsid w:val="24CD5814"/>
    <w:rsid w:val="259E2C64"/>
    <w:rsid w:val="25A4720E"/>
    <w:rsid w:val="260706AD"/>
    <w:rsid w:val="2685028B"/>
    <w:rsid w:val="26F76768"/>
    <w:rsid w:val="27AC61A6"/>
    <w:rsid w:val="27FE02E6"/>
    <w:rsid w:val="281F51A8"/>
    <w:rsid w:val="28C57566"/>
    <w:rsid w:val="28C820B6"/>
    <w:rsid w:val="29084622"/>
    <w:rsid w:val="291D4CB4"/>
    <w:rsid w:val="29F704EF"/>
    <w:rsid w:val="2AC220DE"/>
    <w:rsid w:val="2ADB5E21"/>
    <w:rsid w:val="2ADF08BA"/>
    <w:rsid w:val="2B603075"/>
    <w:rsid w:val="2C305EB2"/>
    <w:rsid w:val="2C547C73"/>
    <w:rsid w:val="2CD9238D"/>
    <w:rsid w:val="2CF24E0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DE801D2"/>
    <w:rsid w:val="3E16524F"/>
    <w:rsid w:val="3EA30F9B"/>
    <w:rsid w:val="3EEE03E1"/>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7255AA"/>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896A3D"/>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1D0456"/>
    <w:rsid w:val="56397366"/>
    <w:rsid w:val="566B5CAA"/>
    <w:rsid w:val="58080247"/>
    <w:rsid w:val="594A0658"/>
    <w:rsid w:val="5950112B"/>
    <w:rsid w:val="597E7D7A"/>
    <w:rsid w:val="59C3293C"/>
    <w:rsid w:val="5A1C766A"/>
    <w:rsid w:val="5CF528AB"/>
    <w:rsid w:val="5D132301"/>
    <w:rsid w:val="5EF258CA"/>
    <w:rsid w:val="5F1E1E73"/>
    <w:rsid w:val="5F601C40"/>
    <w:rsid w:val="606D4916"/>
    <w:rsid w:val="607E64E9"/>
    <w:rsid w:val="612A3DEE"/>
    <w:rsid w:val="61993E05"/>
    <w:rsid w:val="62B67083"/>
    <w:rsid w:val="63132229"/>
    <w:rsid w:val="63C07045"/>
    <w:rsid w:val="648669A1"/>
    <w:rsid w:val="649C599A"/>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10081</Words>
  <Characters>11057</Characters>
  <Lines>53</Lines>
  <Paragraphs>15</Paragraphs>
  <TotalTime>3</TotalTime>
  <ScaleCrop>false</ScaleCrop>
  <LinksUpToDate>false</LinksUpToDate>
  <CharactersWithSpaces>12434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2026-06-18T03:18:00Z</cp:lastPrinted>
  <dcterms:modified xsi:type="dcterms:W3CDTF">2026-06-18T08:29:06Z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249B7BADBA3C4B539C01E6AC7239FF1F_13</vt:lpwstr>
  </property>
  <property fmtid="{D5CDD505-2E9C-101B-9397-08002B2CF9AE}" pid="4" name="KSOTemplateDocerSaveRecord">
    <vt:lpwstr>eyJoZGlkIjoiNTVkNzExMmNlZTllZmYzYjIzZDNlN2M3MDhjZjk3N2IiLCJ1c2VySWQiOiI0MTkyNjk4ODkifQ==</vt:lpwstr>
  </property>
</Properties>
</file>