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16818"/>
      <w:r>
        <w:rPr>
          <w:rFonts w:hint="eastAsia" w:ascii="仿宋_GB2312" w:hAnsi="宋体" w:eastAsia="仿宋_GB2312"/>
          <w:b/>
          <w:sz w:val="52"/>
          <w:szCs w:val="52"/>
          <w:lang w:eastAsia="zh-CN"/>
        </w:rPr>
        <w:t>绍兴市再生能源发展有限公司</w:t>
      </w:r>
      <w:bookmarkEnd w:id="0"/>
    </w:p>
    <w:p w14:paraId="4EEA6687">
      <w:pPr>
        <w:pStyle w:val="11"/>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三台垃圾吊年度维保消缺及技术支持项目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SX-ZH-WB-</w:t>
      </w:r>
      <w:bookmarkEnd w:id="1"/>
      <w:r>
        <w:rPr>
          <w:rFonts w:hint="eastAsia" w:ascii="仿宋" w:hAnsi="仿宋" w:eastAsia="仿宋" w:cs="仿宋"/>
          <w:sz w:val="32"/>
          <w:szCs w:val="32"/>
          <w:highlight w:val="none"/>
          <w:u w:val="single"/>
          <w:lang w:val="en-US" w:eastAsia="zh-CN"/>
        </w:rPr>
        <w:t xml:space="preserve">2606008 </w:t>
      </w:r>
      <w:r>
        <w:rPr>
          <w:rFonts w:hint="eastAsia" w:ascii="仿宋" w:hAnsi="仿宋" w:eastAsia="仿宋" w:cs="仿宋"/>
          <w:sz w:val="32"/>
          <w:szCs w:val="32"/>
          <w:u w:val="single"/>
          <w:lang w:val="en-US" w:eastAsia="zh-CN"/>
        </w:rPr>
        <w:t xml:space="preserve">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三台垃圾吊年度维保消缺及技术支持项目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w:t>
      </w:r>
      <w:r>
        <w:rPr>
          <w:rFonts w:hint="eastAsia" w:ascii="仿宋" w:hAnsi="仿宋" w:eastAsia="仿宋" w:cs="仿宋"/>
          <w:sz w:val="32"/>
          <w:szCs w:val="32"/>
          <w:highlight w:val="none"/>
          <w:lang w:eastAsia="zh-CN"/>
        </w:rPr>
        <w:t>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486168C0">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_Toc16818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_Toc16818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92DC4BC">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_Toc8303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_Toc8303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4210891">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3D728F32">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_Toc1501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_Toc1501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14848B5">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_Toc28946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w:t>
      </w:r>
      <w:r>
        <w:rPr>
          <w:rFonts w:hint="eastAsia" w:eastAsia="仿宋" w:cs="Times New Roman"/>
          <w:b w:val="0"/>
          <w:bCs/>
          <w:sz w:val="32"/>
          <w:szCs w:val="32"/>
          <w:lang w:val="en-US" w:eastAsia="zh-CN"/>
        </w:rPr>
        <w:t>（供参考）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_Toc28946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772432F2">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16</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84840C8">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_Toc5159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_Toc5159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19</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8295AB1">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_Toc12044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_Toc12044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D6DE66D">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_Toc18885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二</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_Toc18885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66B6277">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_Toc14352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三</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_Toc14352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D38388A">
      <w:pPr>
        <w:pStyle w:val="9"/>
        <w:tabs>
          <w:tab w:val="right" w:leader="dot" w:pos="9072"/>
        </w:tabs>
        <w:rPr>
          <w:rFonts w:hint="default"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_Toc28603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四</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_Toc28603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8303"/>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三台垃圾吊年度维保消缺及技术支持项目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w:t>
      </w:r>
      <w:r>
        <w:rPr>
          <w:rFonts w:hint="eastAsia" w:ascii="仿宋" w:hAnsi="仿宋" w:eastAsia="仿宋" w:cs="仿宋"/>
          <w:sz w:val="30"/>
          <w:szCs w:val="30"/>
        </w:rPr>
        <w:t>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SX-ZH-WB-2606008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166" w:type="pct"/>
        <w:jc w:val="center"/>
        <w:tblLayout w:type="fixed"/>
        <w:tblCellMar>
          <w:top w:w="0" w:type="dxa"/>
          <w:left w:w="108" w:type="dxa"/>
          <w:bottom w:w="0" w:type="dxa"/>
          <w:right w:w="108" w:type="dxa"/>
        </w:tblCellMar>
      </w:tblPr>
      <w:tblGrid>
        <w:gridCol w:w="815"/>
        <w:gridCol w:w="2035"/>
        <w:gridCol w:w="4395"/>
        <w:gridCol w:w="2352"/>
      </w:tblGrid>
      <w:tr w14:paraId="0562B3A3">
        <w:tblPrEx>
          <w:tblCellMar>
            <w:top w:w="0" w:type="dxa"/>
            <w:left w:w="108" w:type="dxa"/>
            <w:bottom w:w="0" w:type="dxa"/>
            <w:right w:w="108" w:type="dxa"/>
          </w:tblCellMar>
        </w:tblPrEx>
        <w:trPr>
          <w:trHeight w:val="467"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39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项目内容</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EC49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r>
      <w:tr w14:paraId="0D170546">
        <w:tblPrEx>
          <w:tblCellMar>
            <w:top w:w="0" w:type="dxa"/>
            <w:left w:w="108" w:type="dxa"/>
            <w:bottom w:w="0" w:type="dxa"/>
            <w:right w:w="108" w:type="dxa"/>
          </w:tblCellMar>
        </w:tblPrEx>
        <w:trPr>
          <w:trHeight w:val="1777"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3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三台垃圾吊年度维保消缺及技术支持</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三台垃圾吊按周期全面维护检查保养消缺(包含机械部分和电气部分),对一些高强度部件及电气设备进行必要的预防性维护试验，查找现场隐患，对现场易损易耗部件周期进行预估，提出备件最小库存清单</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1D967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详见询价文件</w:t>
            </w:r>
          </w:p>
        </w:tc>
      </w:tr>
    </w:tbl>
    <w:p w14:paraId="51AFD6D3">
      <w:pPr>
        <w:rPr>
          <w:rFonts w:hint="eastAsia"/>
          <w:highlight w:val="none"/>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3.技术要求及工作量：</w:t>
      </w:r>
    </w:p>
    <w:p w14:paraId="40C5F0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技术要求</w:t>
      </w:r>
      <w:r>
        <w:rPr>
          <w:rFonts w:hint="eastAsia" w:ascii="仿宋" w:hAnsi="仿宋" w:eastAsia="仿宋" w:cs="仿宋"/>
          <w:sz w:val="30"/>
          <w:szCs w:val="30"/>
          <w:lang w:val="en-US" w:eastAsia="zh-CN"/>
        </w:rPr>
        <w:t>：</w:t>
      </w:r>
    </w:p>
    <w:p w14:paraId="25F9BA9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维保合同不得分包，现场作业人员须提供在职证明和社保证明，以及人员意外伤害保险证明。垃圾吊维护保养服务完成，需提供专业的报告与设备改善建议。合同期内提供1次专业技术培训、合同期内免费提供专业仪器轨道测量服务，并出具轨道三维立体坐票报告，免费提供数字化维护网络平台权限给甲方，随时可以查阅垃圾吊维修相关数据。在技术支持周期内对垃圾吊产生故障后的技术问题提供远程/现场技术服务，远程技术服务响应时间为实时，现场技术服务不大于24小时。责成维保单位提供的电气与机械配件，需有科尼原厂证明，以确保配件质量安全可靠</w:t>
      </w:r>
    </w:p>
    <w:p w14:paraId="25429000">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工作量</w:t>
      </w:r>
      <w:r>
        <w:rPr>
          <w:rFonts w:hint="eastAsia" w:ascii="仿宋" w:hAnsi="仿宋" w:eastAsia="仿宋" w:cs="仿宋"/>
          <w:sz w:val="30"/>
          <w:szCs w:val="30"/>
          <w:lang w:val="en-US" w:eastAsia="zh-CN"/>
        </w:rPr>
        <w:t>：</w:t>
      </w:r>
    </w:p>
    <w:p w14:paraId="44C671E7">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三台垃圾吊的维保消缺与技术服务。</w:t>
      </w:r>
    </w:p>
    <w:p w14:paraId="59E6A5FC">
      <w:pPr>
        <w:pStyle w:val="12"/>
        <w:snapToGrid/>
        <w:spacing w:line="360" w:lineRule="auto"/>
        <w:rPr>
          <w:rFonts w:hint="eastAsia" w:ascii="仿宋" w:hAnsi="仿宋" w:eastAsia="仿宋" w:cs="仿宋"/>
          <w:sz w:val="30"/>
          <w:szCs w:val="30"/>
          <w:u w:val="single"/>
          <w:lang w:val="en-US" w:eastAsia="zh-CN"/>
        </w:rPr>
      </w:pPr>
      <w:r>
        <w:rPr>
          <w:rFonts w:hint="eastAsia" w:ascii="仿宋" w:hAnsi="仿宋" w:eastAsia="仿宋" w:cs="仿宋"/>
          <w:sz w:val="30"/>
          <w:szCs w:val="30"/>
          <w:u w:val="single"/>
          <w:lang w:val="en-US" w:eastAsia="zh-CN"/>
        </w:rPr>
        <w:t>设备型号：</w:t>
      </w:r>
    </w:p>
    <w:p w14:paraId="6B857365">
      <w:pPr>
        <w:pStyle w:val="12"/>
        <w:snapToGrid/>
        <w:spacing w:line="360" w:lineRule="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科尼SHAOXING WTE 20T CRANE 1 SNO360-1-ELEC</w:t>
      </w:r>
    </w:p>
    <w:p w14:paraId="10825723">
      <w:pPr>
        <w:pStyle w:val="12"/>
        <w:snapToGrid/>
        <w:spacing w:line="360" w:lineRule="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科尼SHAOXING WTE 20T CRANE 2 SNO360-1-ELEC</w:t>
      </w:r>
    </w:p>
    <w:p w14:paraId="6267D8FB">
      <w:pPr>
        <w:pStyle w:val="12"/>
        <w:snapToGrid/>
        <w:spacing w:line="360" w:lineRule="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科尼SHAOXING WTE 20T CRANE 3 SNO360-1-ELEC</w:t>
      </w:r>
    </w:p>
    <w:p w14:paraId="65E29F9F">
      <w:pPr>
        <w:pStyle w:val="12"/>
        <w:numPr>
          <w:ilvl w:val="0"/>
          <w:numId w:val="0"/>
        </w:numPr>
        <w:snapToGrid/>
        <w:spacing w:line="360" w:lineRule="auto"/>
        <w:ind w:firstLine="600" w:firstLineChars="200"/>
        <w:rPr>
          <w:rFonts w:hint="default"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4.</w:t>
      </w:r>
      <w:r>
        <w:rPr>
          <w:rFonts w:hint="eastAsia" w:ascii="仿宋" w:hAnsi="仿宋" w:eastAsia="仿宋" w:cs="仿宋"/>
          <w:sz w:val="30"/>
          <w:szCs w:val="30"/>
          <w:lang w:val="en-US" w:eastAsia="zh-CN"/>
        </w:rPr>
        <w:t>安全责任与保险：进场人员必须购买保额不低于100万元的意外伤害保险，并提供保单复印件。维保单位需自行承担施工期间发生的一切安全事故责任与相关费用，采购人不承担任何连带责任。</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人民币38.9</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二、报价人要求。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1ADFA4F5">
      <w:pPr>
        <w:pStyle w:val="1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w:t>
      </w:r>
      <w:bookmarkStart w:id="7" w:name="OLE_LINK2"/>
      <w:r>
        <w:rPr>
          <w:rFonts w:hint="eastAsia" w:ascii="仿宋" w:hAnsi="仿宋" w:eastAsia="仿宋" w:cs="仿宋"/>
          <w:sz w:val="30"/>
          <w:szCs w:val="30"/>
          <w:highlight w:val="none"/>
          <w:lang w:val="en-US" w:eastAsia="zh-CN"/>
        </w:rPr>
        <w:t>报价人</w:t>
      </w:r>
      <w:bookmarkEnd w:id="7"/>
      <w:r>
        <w:rPr>
          <w:rFonts w:hint="eastAsia" w:ascii="仿宋" w:hAnsi="仿宋" w:eastAsia="仿宋" w:cs="仿宋"/>
          <w:sz w:val="30"/>
          <w:szCs w:val="30"/>
          <w:highlight w:val="none"/>
          <w:lang w:val="en-US" w:eastAsia="zh-CN"/>
        </w:rPr>
        <w:t>须具有有效期内的“中华人民共和国特种设备生产许可证--起重机械制造(含安装、修理、改造)A级资质，且有类似维保项目业绩。管理人员需有3年以上起重机械管理经验；具有注册安全工程师资质；具有资深科尼垃圾吊PLC维修调试工程师。作业人员需具有低压电工作业证、高处作业证、有毒有害有限空间作业证。</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8" w:name="_Toc530583923"/>
      <w:bookmarkStart w:id="9"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6月26</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本招标文件内有资质及业绩要求，报价人需另行分装报价资格一览表，封装方式需与报价文件相同，且需在快递包装上醒目注明报价资格表、项目名称、询价编号，报价人联系人、联系人电话。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6月18</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bookmarkStart w:id="24" w:name="_GoBack"/>
      <w:bookmarkEnd w:id="24"/>
      <w:r>
        <w:rPr>
          <w:rFonts w:hint="eastAsia" w:ascii="仿宋_GB2312" w:eastAsia="仿宋_GB2312"/>
          <w:sz w:val="30"/>
          <w:szCs w:val="30"/>
        </w:rPr>
        <w:br w:type="page"/>
      </w:r>
      <w:bookmarkStart w:id="10" w:name="_Toc530583922"/>
      <w:bookmarkStart w:id="11" w:name="_Toc530583879"/>
      <w:bookmarkStart w:id="12" w:name="_Toc14760"/>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w:t>
      </w:r>
      <w:r>
        <w:rPr>
          <w:rFonts w:hint="eastAsia" w:ascii="仿宋_GB2312" w:hAnsi="宋体" w:eastAsia="仿宋_GB2312"/>
          <w:sz w:val="30"/>
          <w:szCs w:val="30"/>
          <w:highlight w:val="none"/>
          <w:lang w:val="en-US" w:eastAsia="zh-CN"/>
        </w:rPr>
        <w:t>“服务方”</w:t>
      </w:r>
      <w:r>
        <w:rPr>
          <w:rFonts w:hint="eastAsia" w:ascii="仿宋_GB2312" w:hAnsi="宋体" w:eastAsia="仿宋_GB2312"/>
          <w:sz w:val="30"/>
          <w:szCs w:val="30"/>
          <w:lang w:val="en-US" w:eastAsia="zh-CN"/>
        </w:rPr>
        <w:t>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（三）凡涉及本次询价的解释权均属于</w:t>
      </w:r>
      <w:r>
        <w:rPr>
          <w:rFonts w:hint="eastAsia" w:ascii="仿宋" w:hAnsi="仿宋" w:eastAsia="仿宋" w:cs="仿宋"/>
          <w:sz w:val="30"/>
          <w:szCs w:val="30"/>
          <w:highlight w:val="none"/>
          <w:lang w:eastAsia="zh-CN"/>
        </w:rPr>
        <w:t>绍兴市再生能源发展有限公司</w:t>
      </w:r>
      <w:r>
        <w:rPr>
          <w:rFonts w:hint="eastAsia" w:ascii="仿宋" w:hAnsi="仿宋" w:eastAsia="仿宋" w:cs="仿宋"/>
          <w:sz w:val="30"/>
          <w:szCs w:val="30"/>
          <w:highlight w:val="none"/>
        </w:rPr>
        <w:t>。</w:t>
      </w:r>
    </w:p>
    <w:p w14:paraId="6BD434A3">
      <w:pPr>
        <w:pStyle w:val="2"/>
        <w:numPr>
          <w:ilvl w:val="0"/>
          <w:numId w:val="0"/>
        </w:numPr>
        <w:jc w:val="center"/>
        <w:outlineLvl w:val="9"/>
        <w:rPr>
          <w:rFonts w:hint="eastAsia" w:ascii="仿宋" w:hAnsi="仿宋" w:eastAsia="仿宋" w:cs="仿宋"/>
          <w:snapToGrid w:val="0"/>
          <w:sz w:val="44"/>
          <w:szCs w:val="44"/>
          <w:highlight w:val="none"/>
        </w:rPr>
      </w:pPr>
    </w:p>
    <w:p w14:paraId="5108F7AF">
      <w:pPr>
        <w:rPr>
          <w:rFonts w:hint="eastAsia" w:ascii="仿宋" w:hAnsi="仿宋" w:eastAsia="仿宋" w:cs="仿宋"/>
          <w:snapToGrid w:val="0"/>
          <w:sz w:val="44"/>
          <w:szCs w:val="44"/>
          <w:highlight w:val="none"/>
        </w:rPr>
      </w:pPr>
    </w:p>
    <w:p w14:paraId="1ACF9921">
      <w:pPr>
        <w:pStyle w:val="4"/>
        <w:rPr>
          <w:rFonts w:hint="eastAsia" w:ascii="仿宋" w:hAnsi="仿宋" w:eastAsia="仿宋" w:cs="仿宋"/>
          <w:snapToGrid w:val="0"/>
          <w:sz w:val="44"/>
          <w:szCs w:val="44"/>
          <w:highlight w:val="none"/>
        </w:rPr>
      </w:pPr>
    </w:p>
    <w:p w14:paraId="5677F180">
      <w:pPr>
        <w:pStyle w:val="2"/>
        <w:numPr>
          <w:ilvl w:val="0"/>
          <w:numId w:val="0"/>
        </w:numPr>
        <w:jc w:val="both"/>
        <w:rPr>
          <w:rFonts w:hint="eastAsia" w:ascii="仿宋" w:hAnsi="仿宋" w:eastAsia="仿宋" w:cs="仿宋"/>
          <w:snapToGrid w:val="0"/>
          <w:sz w:val="44"/>
          <w:szCs w:val="44"/>
          <w:highlight w:val="none"/>
        </w:rPr>
      </w:pPr>
    </w:p>
    <w:p w14:paraId="4BFC861E">
      <w:pPr>
        <w:rPr>
          <w:rFonts w:hint="eastAsia" w:ascii="仿宋" w:hAnsi="仿宋" w:eastAsia="仿宋" w:cs="仿宋"/>
          <w:snapToGrid w:val="0"/>
          <w:sz w:val="44"/>
          <w:szCs w:val="44"/>
          <w:highlight w:val="none"/>
        </w:rPr>
      </w:pPr>
    </w:p>
    <w:p w14:paraId="694DD683">
      <w:pPr>
        <w:pStyle w:val="12"/>
        <w:rPr>
          <w:rFonts w:hint="eastAsia"/>
          <w:highlight w:val="none"/>
        </w:rPr>
      </w:pPr>
    </w:p>
    <w:p w14:paraId="0A40157F">
      <w:pPr>
        <w:pStyle w:val="12"/>
        <w:rPr>
          <w:rFonts w:hint="eastAsia"/>
          <w:highlight w:val="none"/>
        </w:rPr>
      </w:pPr>
    </w:p>
    <w:p w14:paraId="0020011C">
      <w:pPr>
        <w:pStyle w:val="12"/>
        <w:rPr>
          <w:rFonts w:hint="eastAsia"/>
          <w:highlight w:val="none"/>
        </w:rPr>
      </w:pPr>
    </w:p>
    <w:p w14:paraId="55792CFC">
      <w:pPr>
        <w:pStyle w:val="12"/>
        <w:rPr>
          <w:rFonts w:hint="eastAsia"/>
          <w:highlight w:val="none"/>
        </w:rPr>
      </w:pPr>
    </w:p>
    <w:p w14:paraId="7777F8FC">
      <w:pPr>
        <w:pStyle w:val="2"/>
        <w:numPr>
          <w:ilvl w:val="0"/>
          <w:numId w:val="0"/>
        </w:numPr>
        <w:jc w:val="center"/>
        <w:rPr>
          <w:rFonts w:hint="eastAsia" w:ascii="仿宋" w:hAnsi="仿宋" w:eastAsia="仿宋" w:cs="仿宋"/>
          <w:b w:val="0"/>
          <w:bCs/>
          <w:snapToGrid w:val="0"/>
          <w:sz w:val="44"/>
          <w:highlight w:val="none"/>
        </w:rPr>
      </w:pPr>
      <w:bookmarkStart w:id="13" w:name="_Toc1501"/>
      <w:r>
        <w:rPr>
          <w:rFonts w:hint="eastAsia" w:ascii="仿宋" w:hAnsi="仿宋" w:eastAsia="仿宋" w:cs="仿宋"/>
          <w:snapToGrid w:val="0"/>
          <w:sz w:val="44"/>
          <w:szCs w:val="44"/>
          <w:highlight w:val="none"/>
        </w:rPr>
        <w:t>第三部分   询价内容</w:t>
      </w:r>
      <w:bookmarkEnd w:id="8"/>
      <w:bookmarkEnd w:id="9"/>
      <w:bookmarkEnd w:id="13"/>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一、</w:t>
      </w:r>
      <w:r>
        <w:rPr>
          <w:rFonts w:hint="eastAsia" w:ascii="仿宋" w:hAnsi="仿宋" w:eastAsia="仿宋" w:cs="仿宋"/>
          <w:color w:val="auto"/>
          <w:kern w:val="2"/>
          <w:sz w:val="30"/>
          <w:szCs w:val="30"/>
          <w:highlight w:val="none"/>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17A0CA9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本项目服务期一年，服务方在服务期内向采购人提供三台垃圾吊全面维护检查保养消缺服务</w:t>
      </w:r>
      <w:r>
        <w:rPr>
          <w:rFonts w:hint="eastAsia" w:ascii="仿宋" w:hAnsi="仿宋" w:eastAsia="仿宋" w:cs="仿宋"/>
          <w:color w:val="auto"/>
          <w:kern w:val="2"/>
          <w:sz w:val="30"/>
          <w:szCs w:val="30"/>
          <w:highlight w:val="none"/>
        </w:rPr>
        <w:t>。</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每季度进行一次结算，服务方提交付款申请、维保报告（需采购人签字验收） 及等额增值税专用发票，采购人自收到准确报告和发票且核对无误后，于次二月完成款项支付，若服务方未按时提供合规发票，采购人的付款期限可相应顺延且不视为违约</w:t>
      </w:r>
      <w:r>
        <w:rPr>
          <w:rFonts w:hint="eastAsia" w:ascii="仿宋" w:hAnsi="仿宋" w:eastAsia="仿宋" w:cs="仿宋"/>
          <w:color w:val="auto"/>
          <w:kern w:val="2"/>
          <w:sz w:val="30"/>
          <w:szCs w:val="30"/>
          <w:highlight w:val="none"/>
        </w:rPr>
        <w:t>。</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2"/>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1C6CD68D">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28946"/>
      <w:r>
        <w:rPr>
          <w:rFonts w:hint="eastAsia" w:ascii="仿宋" w:hAnsi="仿宋" w:eastAsia="仿宋" w:cs="仿宋"/>
          <w:snapToGrid w:val="0"/>
          <w:sz w:val="44"/>
          <w:szCs w:val="44"/>
          <w:lang w:val="en-US" w:eastAsia="zh-CN"/>
        </w:rPr>
        <w:t>合同主要条款</w:t>
      </w:r>
      <w:bookmarkEnd w:id="15"/>
      <w:r>
        <w:rPr>
          <w:rFonts w:hint="eastAsia" w:ascii="仿宋" w:hAnsi="仿宋" w:eastAsia="仿宋" w:cs="仿宋"/>
          <w:snapToGrid w:val="0"/>
          <w:sz w:val="44"/>
          <w:szCs w:val="44"/>
          <w:lang w:val="en-US" w:eastAsia="zh-CN"/>
        </w:rPr>
        <w:t>（供参考）</w:t>
      </w:r>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3129"/>
        <w:gridCol w:w="992"/>
        <w:gridCol w:w="3260"/>
      </w:tblGrid>
      <w:tr w14:paraId="53A04863">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项目名称</w:t>
            </w:r>
          </w:p>
        </w:tc>
        <w:tc>
          <w:tcPr>
            <w:tcW w:w="3129"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项目内容</w:t>
            </w:r>
          </w:p>
        </w:tc>
        <w:tc>
          <w:tcPr>
            <w:tcW w:w="992" w:type="dxa"/>
            <w:tcBorders>
              <w:top w:val="single" w:color="auto" w:sz="4" w:space="0"/>
              <w:left w:val="nil"/>
              <w:bottom w:val="single" w:color="auto" w:sz="4" w:space="0"/>
              <w:right w:val="single" w:color="auto" w:sz="4" w:space="0"/>
            </w:tcBorders>
            <w:noWrap w:val="0"/>
            <w:vAlign w:val="center"/>
          </w:tcPr>
          <w:p w14:paraId="15113C0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技术要求</w:t>
            </w:r>
          </w:p>
        </w:tc>
        <w:tc>
          <w:tcPr>
            <w:tcW w:w="3260"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312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3260"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r>
      <w:tr w14:paraId="51524595">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69CD679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3088269C">
        <w:tblPrEx>
          <w:tblCellMar>
            <w:top w:w="0" w:type="dxa"/>
            <w:left w:w="108" w:type="dxa"/>
            <w:bottom w:w="0" w:type="dxa"/>
            <w:right w:w="108" w:type="dxa"/>
          </w:tblCellMar>
        </w:tblPrEx>
        <w:trPr>
          <w:trHeight w:val="716" w:hRule="atLeast"/>
          <w:jc w:val="center"/>
        </w:trPr>
        <w:tc>
          <w:tcPr>
            <w:tcW w:w="9571" w:type="dxa"/>
            <w:gridSpan w:val="5"/>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本项目服务</w:t>
      </w:r>
      <w:r>
        <w:rPr>
          <w:rFonts w:hint="eastAsia" w:ascii="方正仿宋_GBK" w:hAnsi="方正仿宋_GBK" w:eastAsia="方正仿宋_GBK" w:cs="方正仿宋_GBK"/>
          <w:sz w:val="28"/>
          <w:szCs w:val="28"/>
          <w:highlight w:val="none"/>
          <w:lang w:val="en-US" w:eastAsia="zh-CN"/>
        </w:rPr>
        <w:t>期一年，服务方在服务期内向采购人提供三台垃圾吊全面维护检查保养消缺服务</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第三条 技术要求</w:t>
      </w:r>
      <w:r>
        <w:rPr>
          <w:rFonts w:hint="eastAsia" w:ascii="黑体" w:hAnsi="黑体" w:eastAsia="黑体" w:cs="黑体"/>
          <w:sz w:val="28"/>
          <w:szCs w:val="28"/>
          <w:highlight w:val="none"/>
          <w:lang w:val="en-US" w:eastAsia="zh-CN"/>
        </w:rPr>
        <w:t>及工作量</w:t>
      </w:r>
    </w:p>
    <w:p w14:paraId="237C448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维保合同不得分包，现场作业人员须提供在职证明和社保证明，以及人员意外伤害保险证明。垃圾吊维护保养服务完成，需提供专业的报告与设备改善建议。合同期内提供1次专业技术培训、合同期内免费提供专业仪器轨道测量服务，并出具轨道三维立体坐票报告，免费提供数字化维护网络平台权限给甲方，随时可以查阅垃圾吊维修相关数据。在技术支持周期内对垃圾吊产生故障后的技术问题提供远程/现场技术服务，远程技术服务响应时间为实时，现场技术服务不大于24小时。责成维保单位提供的电气与机械配件，需有科尼原厂证明，以确保配件质量安全可靠。</w:t>
      </w:r>
    </w:p>
    <w:p w14:paraId="218B95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工作量：三台垃圾吊的维保消缺与技术服务。</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3C0CA234">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每季度进行一次结算，服务方提交付款申请、维保报告（需采购人签字验收） 及等额增值税专用发票，采购人自收到准确报告和发票且核对无误后，于次二月完成款项支付，若服务方未按时提供合规发票，采购人的付款期限可相应顺延且不视为违约</w:t>
      </w:r>
      <w:r>
        <w:rPr>
          <w:rFonts w:hint="eastAsia" w:ascii="仿宋" w:hAnsi="仿宋" w:eastAsia="仿宋" w:cs="仿宋"/>
          <w:color w:val="auto"/>
          <w:kern w:val="2"/>
          <w:sz w:val="30"/>
          <w:szCs w:val="30"/>
          <w:highlight w:val="none"/>
          <w:lang w:eastAsia="zh-CN"/>
        </w:rPr>
        <w:t>。</w:t>
      </w:r>
    </w:p>
    <w:p w14:paraId="1DA5C840">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汽车运输到指定地点，运输费用由供货方承担。   </w:t>
      </w:r>
    </w:p>
    <w:p w14:paraId="50F570C4">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14763"/>
      <w:r>
        <w:rPr>
          <w:rFonts w:hint="eastAsia" w:ascii="Times New Roman" w:hAnsi="Times New Roman" w:eastAsia="方正仿宋_GBK" w:cs="Times New Roman"/>
          <w:b/>
          <w:bCs/>
          <w:sz w:val="28"/>
          <w:szCs w:val="28"/>
          <w:highlight w:val="none"/>
          <w:lang w:val="en-US" w:eastAsia="zh-CN"/>
        </w:rPr>
        <w:t>附件：</w:t>
      </w:r>
      <w:bookmarkEnd w:id="16"/>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三台垃圾吊年度维保消缺及技术支持项目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2"/>
        <w:numPr>
          <w:ilvl w:val="0"/>
          <w:numId w:val="0"/>
        </w:numPr>
        <w:jc w:val="center"/>
        <w:rPr>
          <w:rFonts w:hint="eastAsia" w:ascii="仿宋" w:hAnsi="仿宋" w:eastAsia="仿宋" w:cs="仿宋"/>
          <w:snapToGrid w:val="0"/>
          <w:sz w:val="44"/>
          <w:szCs w:val="44"/>
        </w:rPr>
      </w:pPr>
      <w:bookmarkStart w:id="17" w:name="_Toc5159"/>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三台垃圾吊年度维保消缺及技术支持项目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SX-ZH-WB-2606008</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51A478A3">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8" w:name="_Toc12044"/>
      <w:r>
        <w:rPr>
          <w:rStyle w:val="21"/>
          <w:rFonts w:hint="eastAsia" w:ascii="仿宋" w:hAnsi="仿宋" w:eastAsia="仿宋" w:cs="仿宋"/>
          <w:sz w:val="30"/>
        </w:rPr>
        <w:t>附件一：</w:t>
      </w:r>
      <w:bookmarkEnd w:id="18"/>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绍兴市再生能源发展有限公司三台垃圾吊年度维保消缺及技术支持 </w:t>
      </w:r>
      <w:r>
        <w:rPr>
          <w:rFonts w:hint="eastAsia" w:ascii="仿宋" w:hAnsi="仿宋" w:eastAsia="仿宋" w:cs="仿宋"/>
          <w:sz w:val="30"/>
          <w:szCs w:val="30"/>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659"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企业资质</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须具有有效期内的“中华人民共和国特种设备生产许可证--起重机械制造(含安装、修理、改造)A级资质”。</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69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企业业绩</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具有类似维保项目业绩。</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r w14:paraId="1FC82D05">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37A4D0B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3</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75603D15">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管理人员-经验</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5583564B">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管理人员需有3年以上起重机械管理经验。</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06BA477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r>
      <w:tr w14:paraId="77E85D28">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7061EC4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4</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9681F66">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管理人员-证书</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2CA1605">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具有注册安全工程师资质。</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1528C83B">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B824A87">
            <w:pPr>
              <w:autoSpaceDE w:val="0"/>
              <w:autoSpaceDN w:val="0"/>
              <w:spacing w:line="360" w:lineRule="auto"/>
              <w:jc w:val="center"/>
              <w:rPr>
                <w:rFonts w:hint="eastAsia" w:ascii="仿宋" w:hAnsi="仿宋" w:eastAsia="仿宋" w:cs="仿宋"/>
                <w:color w:val="auto"/>
                <w:sz w:val="24"/>
                <w:szCs w:val="24"/>
                <w:highlight w:val="none"/>
              </w:rPr>
            </w:pPr>
          </w:p>
        </w:tc>
      </w:tr>
      <w:tr w14:paraId="3D3F0983">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4A5817EE">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5</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363B6861">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技术人员-专项技能</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0B92F7A">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具有资深科尼垃圾吊PLC维修调试工程师。</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6476FFD6">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2622501F">
            <w:pPr>
              <w:autoSpaceDE w:val="0"/>
              <w:autoSpaceDN w:val="0"/>
              <w:spacing w:line="360" w:lineRule="auto"/>
              <w:jc w:val="center"/>
              <w:rPr>
                <w:rFonts w:hint="eastAsia" w:ascii="仿宋" w:hAnsi="仿宋" w:eastAsia="仿宋" w:cs="仿宋"/>
                <w:color w:val="auto"/>
                <w:sz w:val="24"/>
                <w:szCs w:val="24"/>
                <w:highlight w:val="none"/>
              </w:rPr>
            </w:pPr>
          </w:p>
        </w:tc>
      </w:tr>
      <w:tr w14:paraId="761658B8">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24A561B3">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6</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40951AAF">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作业人员-特种作业证</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1F9126E4">
            <w:pPr>
              <w:keepNext w:val="0"/>
              <w:keepLines w:val="0"/>
              <w:widowControl/>
              <w:suppressLineNumbers w:val="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作业人员需具备以下证件：</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1.低压电工作业证；</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2.高处作业证；</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3.有毒有害有限空间作业证。</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7F20A30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75768B5A">
            <w:pPr>
              <w:autoSpaceDE w:val="0"/>
              <w:autoSpaceDN w:val="0"/>
              <w:spacing w:line="360" w:lineRule="auto"/>
              <w:jc w:val="center"/>
              <w:rPr>
                <w:rFonts w:hint="eastAsia" w:ascii="仿宋" w:hAnsi="仿宋" w:eastAsia="仿宋" w:cs="仿宋"/>
                <w:color w:val="auto"/>
                <w:sz w:val="24"/>
                <w:szCs w:val="24"/>
                <w:highlight w:val="none"/>
              </w:rPr>
            </w:pPr>
          </w:p>
        </w:tc>
      </w:tr>
    </w:tbl>
    <w:p w14:paraId="0C4FED8B">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ECE39BF">
      <w:pPr>
        <w:jc w:val="left"/>
        <w:outlineLvl w:val="0"/>
        <w:rPr>
          <w:rStyle w:val="21"/>
          <w:rFonts w:hint="eastAsia" w:ascii="仿宋" w:hAnsi="仿宋" w:eastAsia="仿宋" w:cs="仿宋"/>
          <w:sz w:val="30"/>
        </w:rPr>
      </w:pPr>
    </w:p>
    <w:p w14:paraId="4A931E0D">
      <w:pPr>
        <w:jc w:val="left"/>
        <w:outlineLvl w:val="0"/>
        <w:rPr>
          <w:rStyle w:val="21"/>
          <w:rFonts w:hint="eastAsia" w:ascii="仿宋" w:hAnsi="仿宋" w:eastAsia="仿宋" w:cs="仿宋"/>
          <w:sz w:val="30"/>
        </w:rPr>
      </w:pPr>
    </w:p>
    <w:p w14:paraId="289347F0">
      <w:pPr>
        <w:jc w:val="left"/>
        <w:outlineLvl w:val="0"/>
        <w:rPr>
          <w:rStyle w:val="21"/>
          <w:rFonts w:hint="eastAsia" w:ascii="仿宋" w:hAnsi="仿宋" w:eastAsia="仿宋" w:cs="仿宋"/>
          <w:sz w:val="30"/>
        </w:rPr>
      </w:pPr>
    </w:p>
    <w:p w14:paraId="714DA679">
      <w:pPr>
        <w:jc w:val="left"/>
        <w:outlineLvl w:val="0"/>
        <w:rPr>
          <w:rStyle w:val="21"/>
          <w:rFonts w:hint="eastAsia" w:ascii="仿宋" w:hAnsi="仿宋" w:eastAsia="仿宋" w:cs="仿宋"/>
          <w:sz w:val="30"/>
        </w:rPr>
      </w:pPr>
    </w:p>
    <w:p w14:paraId="5F2355C8">
      <w:pPr>
        <w:jc w:val="left"/>
        <w:outlineLvl w:val="0"/>
        <w:rPr>
          <w:rStyle w:val="21"/>
          <w:rFonts w:hint="eastAsia" w:ascii="仿宋" w:hAnsi="仿宋" w:eastAsia="仿宋" w:cs="仿宋"/>
          <w:sz w:val="30"/>
        </w:rPr>
      </w:pPr>
    </w:p>
    <w:p w14:paraId="41836E8B">
      <w:pPr>
        <w:jc w:val="left"/>
        <w:outlineLvl w:val="0"/>
        <w:rPr>
          <w:rStyle w:val="21"/>
          <w:rFonts w:hint="eastAsia" w:ascii="仿宋" w:hAnsi="仿宋" w:eastAsia="仿宋" w:cs="仿宋"/>
          <w:sz w:val="30"/>
        </w:rPr>
      </w:pPr>
    </w:p>
    <w:p w14:paraId="5E6F0AB0">
      <w:pPr>
        <w:jc w:val="left"/>
        <w:outlineLvl w:val="0"/>
        <w:rPr>
          <w:rStyle w:val="21"/>
          <w:rFonts w:hint="eastAsia" w:ascii="仿宋" w:hAnsi="仿宋" w:eastAsia="仿宋" w:cs="仿宋"/>
          <w:sz w:val="30"/>
        </w:rPr>
      </w:pPr>
    </w:p>
    <w:p w14:paraId="2A6C9D94">
      <w:pPr>
        <w:jc w:val="left"/>
        <w:outlineLvl w:val="0"/>
        <w:rPr>
          <w:rStyle w:val="21"/>
          <w:rFonts w:hint="eastAsia" w:ascii="仿宋" w:hAnsi="仿宋" w:eastAsia="仿宋" w:cs="仿宋"/>
          <w:sz w:val="30"/>
        </w:rPr>
      </w:pPr>
    </w:p>
    <w:p w14:paraId="49FC582B">
      <w:pPr>
        <w:jc w:val="left"/>
        <w:outlineLvl w:val="0"/>
        <w:rPr>
          <w:rStyle w:val="21"/>
          <w:rFonts w:hint="eastAsia" w:ascii="仿宋" w:hAnsi="仿宋" w:eastAsia="仿宋" w:cs="仿宋"/>
          <w:sz w:val="30"/>
        </w:rPr>
      </w:pPr>
    </w:p>
    <w:p w14:paraId="48887529">
      <w:pPr>
        <w:jc w:val="left"/>
        <w:outlineLvl w:val="0"/>
        <w:rPr>
          <w:rStyle w:val="21"/>
          <w:rFonts w:hint="eastAsia" w:ascii="仿宋" w:hAnsi="仿宋" w:eastAsia="仿宋" w:cs="仿宋"/>
          <w:sz w:val="30"/>
        </w:rPr>
      </w:pPr>
    </w:p>
    <w:p w14:paraId="764599F8">
      <w:pPr>
        <w:jc w:val="left"/>
        <w:outlineLvl w:val="0"/>
        <w:rPr>
          <w:rStyle w:val="21"/>
          <w:rFonts w:hint="eastAsia" w:ascii="仿宋" w:hAnsi="仿宋" w:eastAsia="仿宋" w:cs="仿宋"/>
          <w:sz w:val="30"/>
        </w:rPr>
      </w:pPr>
    </w:p>
    <w:p w14:paraId="60289D8E">
      <w:pPr>
        <w:jc w:val="left"/>
        <w:outlineLvl w:val="0"/>
        <w:rPr>
          <w:rStyle w:val="21"/>
          <w:rFonts w:hint="eastAsia" w:ascii="仿宋" w:hAnsi="仿宋" w:eastAsia="仿宋" w:cs="仿宋"/>
          <w:sz w:val="30"/>
        </w:rPr>
      </w:pPr>
    </w:p>
    <w:p w14:paraId="0FC3E4AF">
      <w:pPr>
        <w:jc w:val="left"/>
        <w:outlineLvl w:val="0"/>
        <w:rPr>
          <w:rStyle w:val="21"/>
          <w:rFonts w:hint="eastAsia" w:ascii="仿宋" w:hAnsi="仿宋" w:eastAsia="仿宋" w:cs="仿宋"/>
          <w:sz w:val="30"/>
        </w:rPr>
      </w:pPr>
    </w:p>
    <w:p w14:paraId="2C9A322D">
      <w:pPr>
        <w:jc w:val="left"/>
        <w:outlineLvl w:val="0"/>
        <w:rPr>
          <w:rStyle w:val="21"/>
          <w:rFonts w:hint="eastAsia" w:ascii="仿宋" w:hAnsi="仿宋" w:eastAsia="仿宋" w:cs="仿宋"/>
          <w:sz w:val="30"/>
        </w:rPr>
      </w:pPr>
    </w:p>
    <w:p w14:paraId="566F031E">
      <w:pPr>
        <w:jc w:val="left"/>
        <w:outlineLvl w:val="0"/>
        <w:rPr>
          <w:rStyle w:val="21"/>
          <w:rFonts w:hint="eastAsia" w:ascii="仿宋" w:hAnsi="仿宋" w:eastAsia="仿宋" w:cs="仿宋"/>
          <w:sz w:val="30"/>
        </w:rPr>
      </w:pPr>
    </w:p>
    <w:p w14:paraId="0272915C">
      <w:pPr>
        <w:jc w:val="left"/>
        <w:outlineLvl w:val="0"/>
        <w:rPr>
          <w:rStyle w:val="21"/>
          <w:rFonts w:hint="eastAsia" w:ascii="仿宋" w:hAnsi="仿宋" w:eastAsia="仿宋" w:cs="仿宋"/>
          <w:sz w:val="30"/>
        </w:rPr>
      </w:pPr>
    </w:p>
    <w:p w14:paraId="657D6C18">
      <w:pPr>
        <w:jc w:val="left"/>
        <w:outlineLvl w:val="0"/>
        <w:rPr>
          <w:rStyle w:val="21"/>
          <w:rFonts w:hint="eastAsia" w:ascii="仿宋" w:hAnsi="仿宋" w:eastAsia="仿宋" w:cs="仿宋"/>
          <w:sz w:val="30"/>
        </w:rPr>
      </w:pPr>
    </w:p>
    <w:p w14:paraId="0DF354F1">
      <w:pPr>
        <w:jc w:val="left"/>
        <w:outlineLvl w:val="0"/>
        <w:rPr>
          <w:rStyle w:val="21"/>
          <w:rFonts w:hint="eastAsia" w:ascii="仿宋" w:hAnsi="仿宋" w:eastAsia="仿宋" w:cs="仿宋"/>
          <w:sz w:val="30"/>
        </w:rPr>
      </w:pPr>
    </w:p>
    <w:p w14:paraId="748C5A06">
      <w:pPr>
        <w:jc w:val="left"/>
        <w:outlineLvl w:val="0"/>
        <w:rPr>
          <w:rStyle w:val="21"/>
          <w:rFonts w:hint="eastAsia" w:ascii="仿宋" w:hAnsi="仿宋" w:eastAsia="仿宋" w:cs="仿宋"/>
          <w:sz w:val="30"/>
        </w:rPr>
      </w:pPr>
    </w:p>
    <w:p w14:paraId="4B91D774">
      <w:pPr>
        <w:jc w:val="left"/>
        <w:outlineLvl w:val="0"/>
        <w:rPr>
          <w:rStyle w:val="21"/>
          <w:rFonts w:hint="eastAsia" w:ascii="仿宋" w:hAnsi="仿宋" w:eastAsia="仿宋" w:cs="仿宋"/>
          <w:sz w:val="30"/>
        </w:rPr>
      </w:pPr>
    </w:p>
    <w:p w14:paraId="045C7AB0">
      <w:pPr>
        <w:jc w:val="left"/>
        <w:outlineLvl w:val="0"/>
        <w:rPr>
          <w:rStyle w:val="21"/>
          <w:rFonts w:hint="eastAsia" w:ascii="仿宋" w:hAnsi="仿宋" w:eastAsia="仿宋" w:cs="仿宋"/>
          <w:sz w:val="30"/>
        </w:rPr>
      </w:pPr>
    </w:p>
    <w:p w14:paraId="2BBCBD9C">
      <w:pPr>
        <w:jc w:val="left"/>
        <w:outlineLvl w:val="0"/>
        <w:rPr>
          <w:rStyle w:val="21"/>
          <w:rFonts w:hint="eastAsia" w:ascii="仿宋" w:hAnsi="仿宋" w:eastAsia="仿宋" w:cs="仿宋"/>
          <w:sz w:val="30"/>
        </w:rPr>
      </w:pPr>
    </w:p>
    <w:p w14:paraId="679AED15">
      <w:pPr>
        <w:jc w:val="left"/>
        <w:outlineLvl w:val="0"/>
        <w:rPr>
          <w:rStyle w:val="21"/>
          <w:rFonts w:hint="eastAsia" w:ascii="仿宋" w:hAnsi="仿宋" w:eastAsia="仿宋" w:cs="仿宋"/>
          <w:sz w:val="30"/>
        </w:rPr>
      </w:pPr>
    </w:p>
    <w:p w14:paraId="04507092">
      <w:pPr>
        <w:jc w:val="left"/>
        <w:outlineLvl w:val="0"/>
        <w:rPr>
          <w:rStyle w:val="21"/>
          <w:rFonts w:hint="eastAsia" w:ascii="仿宋" w:hAnsi="仿宋" w:eastAsia="仿宋" w:cs="仿宋"/>
          <w:sz w:val="30"/>
        </w:rPr>
      </w:pPr>
    </w:p>
    <w:p w14:paraId="76DD92E9">
      <w:pPr>
        <w:jc w:val="left"/>
        <w:outlineLvl w:val="0"/>
        <w:rPr>
          <w:rStyle w:val="21"/>
          <w:rFonts w:hint="eastAsia" w:ascii="仿宋" w:hAnsi="仿宋" w:eastAsia="仿宋" w:cs="仿宋"/>
          <w:sz w:val="30"/>
        </w:rPr>
      </w:pPr>
    </w:p>
    <w:p w14:paraId="06FFBA61">
      <w:pPr>
        <w:jc w:val="left"/>
        <w:outlineLvl w:val="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9" w:name="_Toc18885"/>
      <w:r>
        <w:rPr>
          <w:rStyle w:val="21"/>
          <w:rFonts w:hint="eastAsia" w:ascii="仿宋" w:hAnsi="仿宋" w:eastAsia="仿宋" w:cs="仿宋"/>
          <w:sz w:val="30"/>
        </w:rPr>
        <w:t>附件</w:t>
      </w:r>
      <w:r>
        <w:rPr>
          <w:rStyle w:val="21"/>
          <w:rFonts w:hint="eastAsia" w:ascii="仿宋" w:hAnsi="仿宋" w:eastAsia="仿宋" w:cs="仿宋"/>
          <w:sz w:val="30"/>
          <w:lang w:val="en-US"/>
        </w:rPr>
        <w:t>二</w:t>
      </w:r>
      <w:r>
        <w:rPr>
          <w:rStyle w:val="21"/>
          <w:rFonts w:hint="eastAsia" w:ascii="仿宋" w:hAnsi="仿宋" w:eastAsia="仿宋" w:cs="仿宋"/>
          <w:sz w:val="30"/>
        </w:rPr>
        <w:t>：</w:t>
      </w:r>
      <w:bookmarkEnd w:id="19"/>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三台垃圾吊年度维保消缺及技术支持 </w:t>
      </w:r>
      <w:r>
        <w:rPr>
          <w:rFonts w:hint="eastAsia" w:ascii="仿宋" w:hAnsi="仿宋" w:eastAsia="仿宋" w:cs="仿宋"/>
          <w:sz w:val="30"/>
          <w:szCs w:val="30"/>
          <w:u w:val="none"/>
          <w:lang w:val="en-US" w:eastAsia="zh-CN"/>
        </w:rPr>
        <w:t>项目。</w:t>
      </w:r>
    </w:p>
    <w:tbl>
      <w:tblPr>
        <w:tblStyle w:val="13"/>
        <w:tblW w:w="5915" w:type="pct"/>
        <w:jc w:val="center"/>
        <w:tblLayout w:type="fixed"/>
        <w:tblCellMar>
          <w:top w:w="0" w:type="dxa"/>
          <w:left w:w="108" w:type="dxa"/>
          <w:bottom w:w="0" w:type="dxa"/>
          <w:right w:w="108" w:type="dxa"/>
        </w:tblCellMar>
      </w:tblPr>
      <w:tblGrid>
        <w:gridCol w:w="815"/>
        <w:gridCol w:w="2035"/>
        <w:gridCol w:w="4395"/>
        <w:gridCol w:w="2352"/>
        <w:gridCol w:w="1392"/>
      </w:tblGrid>
      <w:tr w14:paraId="7B10FEF1">
        <w:tblPrEx>
          <w:tblCellMar>
            <w:top w:w="0" w:type="dxa"/>
            <w:left w:w="108" w:type="dxa"/>
            <w:bottom w:w="0" w:type="dxa"/>
            <w:right w:w="108" w:type="dxa"/>
          </w:tblCellMar>
        </w:tblPrEx>
        <w:trPr>
          <w:trHeight w:val="46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3882E5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176C0F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76DD4C7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项目内容</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7E506B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3FA2E1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5A0AC2E0">
        <w:tblPrEx>
          <w:tblCellMar>
            <w:top w:w="0" w:type="dxa"/>
            <w:left w:w="108" w:type="dxa"/>
            <w:bottom w:w="0" w:type="dxa"/>
            <w:right w:w="108" w:type="dxa"/>
          </w:tblCellMar>
        </w:tblPrEx>
        <w:trPr>
          <w:trHeight w:val="177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34A172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1EF816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三台垃圾吊年度维保消缺及技术支持</w:t>
            </w:r>
          </w:p>
        </w:tc>
        <w:tc>
          <w:tcPr>
            <w:tcW w:w="4033" w:type="dxa"/>
            <w:tcBorders>
              <w:top w:val="single" w:color="000000" w:sz="4" w:space="0"/>
              <w:left w:val="single" w:color="000000" w:sz="4" w:space="0"/>
              <w:bottom w:val="single" w:color="000000" w:sz="4" w:space="0"/>
              <w:right w:val="single" w:color="000000" w:sz="4" w:space="0"/>
            </w:tcBorders>
            <w:noWrap w:val="0"/>
            <w:vAlign w:val="center"/>
          </w:tcPr>
          <w:p w14:paraId="6E3899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三台垃圾吊按周期全面维护检查保养消缺(包含机械部分和电气部分),对一些高强度部件及电气设备进行必要的预防性维护试验，查找现场隐患，对现场易损易耗部件周期进行预估，提出备件最小库存清单</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14:paraId="044867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详见询价文件</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34D2ECD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0512006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每季度进行一次结算，服务方提交付款申请、维保报告（需采购人签字验收） 及等额增值税专用发票，采购人自收到准确报告和发票且核对无误后，于次二月完成款项支付，若服务方未按时提供合规发票，采购人的付款期限可相应顺延且不视为</w:t>
      </w:r>
      <w:r>
        <w:rPr>
          <w:rFonts w:hint="eastAsia" w:ascii="仿宋" w:hAnsi="仿宋" w:eastAsia="仿宋" w:cs="仿宋"/>
          <w:sz w:val="30"/>
          <w:szCs w:val="30"/>
          <w:highlight w:val="none"/>
          <w:lang w:val="en-US" w:eastAsia="zh-CN"/>
        </w:rPr>
        <w:t>违约</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41BC28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yellow"/>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目采购总金额限价人民币38.9</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预成交公示结束后，中标人在收到招标人拟订合同（所中标项</w:t>
      </w:r>
      <w:r>
        <w:rPr>
          <w:rFonts w:hint="eastAsia" w:ascii="仿宋" w:hAnsi="仿宋" w:eastAsia="仿宋" w:cs="仿宋"/>
          <w:color w:val="auto"/>
          <w:sz w:val="30"/>
          <w:szCs w:val="30"/>
          <w:lang w:val="en-US" w:eastAsia="zh-CN"/>
        </w:rPr>
        <w:t>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3、以上总价应为含税全包价，包括运费、税费等一切费用，发票必须为增值税专用发票。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0EEE73B">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E1333BF">
      <w:pPr>
        <w:jc w:val="left"/>
        <w:outlineLvl w:val="0"/>
        <w:rPr>
          <w:rStyle w:val="21"/>
          <w:rFonts w:hint="eastAsia" w:ascii="仿宋" w:hAnsi="仿宋" w:eastAsia="仿宋" w:cs="仿宋"/>
          <w:sz w:val="30"/>
        </w:rPr>
      </w:pPr>
      <w:bookmarkStart w:id="20" w:name="_Toc14352"/>
      <w:bookmarkStart w:id="21" w:name="_Toc108839328"/>
      <w:bookmarkStart w:id="22" w:name="_Toc103165678"/>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bookmarkEnd w:id="20"/>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三台垃圾吊年度维保消缺及技术支持 </w:t>
      </w:r>
      <w:r>
        <w:rPr>
          <w:rFonts w:hint="eastAsia" w:ascii="仿宋" w:hAnsi="仿宋" w:eastAsia="仿宋" w:cs="仿宋"/>
          <w:color w:val="auto"/>
          <w:sz w:val="30"/>
          <w:szCs w:val="30"/>
          <w:u w:val="none"/>
          <w:lang w:val="en-US" w:eastAsia="zh-CN"/>
        </w:rPr>
        <w:t>项目。</w:t>
      </w:r>
    </w:p>
    <w:tbl>
      <w:tblPr>
        <w:tblStyle w:val="13"/>
        <w:tblW w:w="5915" w:type="pct"/>
        <w:jc w:val="center"/>
        <w:tblLayout w:type="fixed"/>
        <w:tblCellMar>
          <w:top w:w="0" w:type="dxa"/>
          <w:left w:w="108" w:type="dxa"/>
          <w:bottom w:w="0" w:type="dxa"/>
          <w:right w:w="108" w:type="dxa"/>
        </w:tblCellMar>
      </w:tblPr>
      <w:tblGrid>
        <w:gridCol w:w="815"/>
        <w:gridCol w:w="2035"/>
        <w:gridCol w:w="4395"/>
        <w:gridCol w:w="2352"/>
        <w:gridCol w:w="1392"/>
      </w:tblGrid>
      <w:tr w14:paraId="24A02C0F">
        <w:tblPrEx>
          <w:tblCellMar>
            <w:top w:w="0" w:type="dxa"/>
            <w:left w:w="108" w:type="dxa"/>
            <w:bottom w:w="0" w:type="dxa"/>
            <w:right w:w="108" w:type="dxa"/>
          </w:tblCellMar>
        </w:tblPrEx>
        <w:trPr>
          <w:trHeight w:val="46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5709C1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01BD0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033" w:type="dxa"/>
            <w:tcBorders>
              <w:top w:val="single" w:color="000000" w:sz="4" w:space="0"/>
              <w:left w:val="single" w:color="000000" w:sz="4" w:space="0"/>
              <w:bottom w:val="single" w:color="000000" w:sz="4" w:space="0"/>
              <w:right w:val="single" w:color="000000" w:sz="4" w:space="0"/>
            </w:tcBorders>
            <w:noWrap/>
            <w:vAlign w:val="center"/>
          </w:tcPr>
          <w:p w14:paraId="340977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项目内容</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5C7470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c>
          <w:tcPr>
            <w:tcW w:w="1277" w:type="dxa"/>
            <w:tcBorders>
              <w:top w:val="single" w:color="000000" w:sz="4" w:space="0"/>
              <w:left w:val="single" w:color="000000" w:sz="4" w:space="0"/>
              <w:bottom w:val="single" w:color="000000" w:sz="4" w:space="0"/>
              <w:right w:val="single" w:color="000000" w:sz="4" w:space="0"/>
            </w:tcBorders>
            <w:noWrap/>
            <w:vAlign w:val="center"/>
          </w:tcPr>
          <w:p w14:paraId="015361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258B54F0">
        <w:tblPrEx>
          <w:tblCellMar>
            <w:top w:w="0" w:type="dxa"/>
            <w:left w:w="108" w:type="dxa"/>
            <w:bottom w:w="0" w:type="dxa"/>
            <w:right w:w="108" w:type="dxa"/>
          </w:tblCellMar>
        </w:tblPrEx>
        <w:trPr>
          <w:trHeight w:val="1177"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8BE3C6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CAB93D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p>
        </w:tc>
        <w:tc>
          <w:tcPr>
            <w:tcW w:w="4033" w:type="dxa"/>
            <w:tcBorders>
              <w:top w:val="single" w:color="000000" w:sz="4" w:space="0"/>
              <w:left w:val="single" w:color="000000" w:sz="4" w:space="0"/>
              <w:bottom w:val="single" w:color="000000" w:sz="4" w:space="0"/>
              <w:right w:val="single" w:color="000000" w:sz="4" w:space="0"/>
            </w:tcBorders>
            <w:noWrap w:val="0"/>
            <w:vAlign w:val="center"/>
          </w:tcPr>
          <w:p w14:paraId="3D872C9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14:paraId="23B0DC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06B278B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794D424E">
      <w:pPr>
        <w:pStyle w:val="9"/>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每季度进行一次结算，服务方提交付款申请、维保报告（需采购人签字验收） 及等额增值税专用发票，采购人自收到准确报告和发票且核对无误后，于次二月完成款项支付</w:t>
      </w:r>
      <w:r>
        <w:rPr>
          <w:rFonts w:hint="eastAsia" w:ascii="仿宋" w:hAnsi="仿宋" w:eastAsia="仿宋" w:cs="仿宋"/>
          <w:color w:val="auto"/>
          <w:sz w:val="30"/>
          <w:szCs w:val="30"/>
          <w:highlight w:val="none"/>
          <w:lang w:val="en-US" w:eastAsia="zh-CN"/>
        </w:rPr>
        <w:t>，若服务方未按时提供合规发票，采购人的付款期限可相应顺延且不视为违约</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3D224D0">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bookmarkEnd w:id="21"/>
    <w:bookmarkEnd w:id="22"/>
    <w:p w14:paraId="6004A5C2">
      <w:pPr>
        <w:jc w:val="left"/>
        <w:outlineLvl w:val="0"/>
        <w:rPr>
          <w:rStyle w:val="21"/>
          <w:rFonts w:hint="eastAsia" w:ascii="仿宋" w:hAnsi="仿宋" w:eastAsia="仿宋" w:cs="仿宋"/>
          <w:sz w:val="30"/>
        </w:rPr>
      </w:pPr>
      <w:bookmarkStart w:id="23" w:name="_Toc28603"/>
      <w:r>
        <w:rPr>
          <w:rStyle w:val="21"/>
          <w:rFonts w:hint="eastAsia" w:ascii="仿宋" w:hAnsi="仿宋" w:eastAsia="仿宋" w:cs="仿宋"/>
          <w:sz w:val="30"/>
        </w:rPr>
        <w:t>附件</w:t>
      </w:r>
      <w:r>
        <w:rPr>
          <w:rStyle w:val="21"/>
          <w:rFonts w:hint="eastAsia" w:ascii="仿宋" w:hAnsi="仿宋" w:eastAsia="仿宋" w:cs="仿宋"/>
          <w:sz w:val="30"/>
          <w:lang w:val="en-US"/>
        </w:rPr>
        <w:t>四</w:t>
      </w:r>
      <w:r>
        <w:rPr>
          <w:rStyle w:val="21"/>
          <w:rFonts w:hint="eastAsia" w:ascii="仿宋" w:hAnsi="仿宋" w:eastAsia="仿宋" w:cs="仿宋"/>
          <w:sz w:val="30"/>
        </w:rPr>
        <w:t>：</w:t>
      </w:r>
      <w:bookmarkEnd w:id="23"/>
    </w:p>
    <w:p w14:paraId="6DD8282D">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三台垃圾吊年度维保消缺及技术支持项目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8F1D9617"/>
    <w:multiLevelType w:val="singleLevel"/>
    <w:tmpl w:val="8F1D9617"/>
    <w:lvl w:ilvl="0" w:tentative="0">
      <w:start w:val="1"/>
      <w:numFmt w:val="decimal"/>
      <w:suff w:val="nothing"/>
      <w:lvlText w:val="%1"/>
      <w:lvlJc w:val="left"/>
      <w:pPr>
        <w:ind w:left="635" w:leftChars="0" w:hanging="425" w:firstLineChars="0"/>
      </w:pPr>
      <w:rPr>
        <w:rFonts w:hint="default"/>
      </w:rPr>
    </w:lvl>
  </w:abstractNum>
  <w:abstractNum w:abstractNumId="4">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5">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4"/>
  </w:num>
  <w:num w:numId="5">
    <w:abstractNumId w:val="6"/>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617E6"/>
    <w:rsid w:val="003A657B"/>
    <w:rsid w:val="00517D5D"/>
    <w:rsid w:val="005926A3"/>
    <w:rsid w:val="008746A5"/>
    <w:rsid w:val="00B574EC"/>
    <w:rsid w:val="01D22213"/>
    <w:rsid w:val="027619AC"/>
    <w:rsid w:val="02834D04"/>
    <w:rsid w:val="031428FF"/>
    <w:rsid w:val="038D5656"/>
    <w:rsid w:val="03F95A31"/>
    <w:rsid w:val="04531E45"/>
    <w:rsid w:val="04605697"/>
    <w:rsid w:val="04FD1ABF"/>
    <w:rsid w:val="056A79D6"/>
    <w:rsid w:val="05D22118"/>
    <w:rsid w:val="05D355DF"/>
    <w:rsid w:val="06057AB3"/>
    <w:rsid w:val="062B00FD"/>
    <w:rsid w:val="067A3460"/>
    <w:rsid w:val="076328DA"/>
    <w:rsid w:val="07A76692"/>
    <w:rsid w:val="08186607"/>
    <w:rsid w:val="083A3947"/>
    <w:rsid w:val="08F93082"/>
    <w:rsid w:val="093F2ABC"/>
    <w:rsid w:val="097479E0"/>
    <w:rsid w:val="09EF44EC"/>
    <w:rsid w:val="0A0C6ADD"/>
    <w:rsid w:val="0A32752C"/>
    <w:rsid w:val="0A9D29B8"/>
    <w:rsid w:val="0B2C6C02"/>
    <w:rsid w:val="0B8E6D39"/>
    <w:rsid w:val="0BC12699"/>
    <w:rsid w:val="0BCC31F9"/>
    <w:rsid w:val="0C5A16A4"/>
    <w:rsid w:val="0DC35837"/>
    <w:rsid w:val="0DE61498"/>
    <w:rsid w:val="0DF142F0"/>
    <w:rsid w:val="110C39D4"/>
    <w:rsid w:val="1297576D"/>
    <w:rsid w:val="12BF4C87"/>
    <w:rsid w:val="12E70A09"/>
    <w:rsid w:val="1325794A"/>
    <w:rsid w:val="13731702"/>
    <w:rsid w:val="15061C4B"/>
    <w:rsid w:val="15341747"/>
    <w:rsid w:val="164F6705"/>
    <w:rsid w:val="16646293"/>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1E6A2889"/>
    <w:rsid w:val="203B090D"/>
    <w:rsid w:val="21135480"/>
    <w:rsid w:val="211D7593"/>
    <w:rsid w:val="212C3971"/>
    <w:rsid w:val="214D7086"/>
    <w:rsid w:val="21BA7E4E"/>
    <w:rsid w:val="22DF5956"/>
    <w:rsid w:val="22ED7F5E"/>
    <w:rsid w:val="23AD6C0F"/>
    <w:rsid w:val="23D12305"/>
    <w:rsid w:val="24130D0C"/>
    <w:rsid w:val="259E2C64"/>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353039"/>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4322DB"/>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DA44A2"/>
    <w:rsid w:val="48E14418"/>
    <w:rsid w:val="490432DC"/>
    <w:rsid w:val="491635D4"/>
    <w:rsid w:val="49E7480F"/>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1F1F28"/>
    <w:rsid w:val="56397366"/>
    <w:rsid w:val="57105FDC"/>
    <w:rsid w:val="58080247"/>
    <w:rsid w:val="58C27322"/>
    <w:rsid w:val="5950112B"/>
    <w:rsid w:val="59C3293C"/>
    <w:rsid w:val="5A1C766A"/>
    <w:rsid w:val="5B3710B2"/>
    <w:rsid w:val="5B5E63DA"/>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640EC3"/>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8">
    <w:name w:val="Table Text"/>
    <w:basedOn w:val="1"/>
    <w:semiHidden/>
    <w:qFormat/>
    <w:uiPriority w:val="0"/>
    <w:rPr>
      <w:rFonts w:ascii="宋体" w:hAnsi="宋体" w:eastAsia="宋体" w:cs="宋体"/>
      <w:sz w:val="22"/>
      <w:szCs w:val="22"/>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9271</Words>
  <Characters>9585</Characters>
  <Lines>53</Lines>
  <Paragraphs>15</Paragraphs>
  <TotalTime>56</TotalTime>
  <ScaleCrop>false</ScaleCrop>
  <LinksUpToDate>false</LinksUpToDate>
  <CharactersWithSpaces>10625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2026-06-18T06:45:00Z</cp:lastPrinted>
  <dcterms:modified xsi:type="dcterms:W3CDTF">2026-06-18T08:09:51Z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AFD1FB8C7692483FB409E386562BB269_13</vt:lpwstr>
  </property>
  <property fmtid="{D5CDD505-2E9C-101B-9397-08002B2CF9AE}" pid="4" name="KSOTemplateDocerSaveRecord">
    <vt:lpwstr>eyJoZGlkIjoiZDU5ZmYzODUyNjg1MTM3NmE2OTBjZTA2MmE1ZDJlMDUiLCJ1c2VySWQiOiI0MTkyNjk4ODkifQ==</vt:lpwstr>
  </property>
</Properties>
</file>