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6100"/>
      <w:r>
        <w:rPr>
          <w:rFonts w:hint="eastAsia" w:ascii="仿宋_GB2312" w:hAnsi="宋体" w:eastAsia="仿宋_GB2312"/>
          <w:b/>
          <w:sz w:val="52"/>
          <w:szCs w:val="52"/>
          <w:lang w:eastAsia="zh-CN"/>
        </w:rPr>
        <w:t>绍兴市再生能源发展有限公司</w:t>
      </w:r>
      <w:bookmarkEnd w:id="0"/>
    </w:p>
    <w:p w14:paraId="4EEA6687">
      <w:pPr>
        <w:pStyle w:val="12"/>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1#、2#、3#CEMS水校准项目</w:t>
      </w:r>
    </w:p>
    <w:p w14:paraId="659FFE53">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highlight w:val="none"/>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SX-ZH-JZ-</w:t>
      </w:r>
      <w:bookmarkEnd w:id="1"/>
      <w:r>
        <w:rPr>
          <w:rFonts w:hint="eastAsia" w:ascii="仿宋" w:hAnsi="仿宋" w:eastAsia="仿宋" w:cs="仿宋"/>
          <w:sz w:val="32"/>
          <w:szCs w:val="32"/>
          <w:highlight w:val="none"/>
          <w:u w:val="single"/>
          <w:lang w:val="en-US" w:eastAsia="zh-CN"/>
        </w:rPr>
        <w:t xml:space="preserve">2606017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1#、2#、3#CEMS水校准项目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0359C521">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_Toc6100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_Toc6100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78E993F">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_Toc9966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_Toc9966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778EE7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_Toc27761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_Toc27761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6</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03A17B0">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_Toc14305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_Toc14305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11</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0692914">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_Toc25686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_Toc25686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5215D46A">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_Toc19096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_Toc19096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2B0E34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_Toc19746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_Toc19746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32C1273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_Toc32005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_Toc32005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4DD301F">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_Toc134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二</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24701F9">
      <w:pPr>
        <w:pStyle w:val="10"/>
        <w:tabs>
          <w:tab w:val="right" w:leader="dot" w:pos="9072"/>
        </w:tabs>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_Toc20347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三</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_Toc20347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bookmarkStart w:id="22" w:name="_GoBack"/>
      <w:bookmarkEnd w:id="22"/>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9966"/>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1#、2#、3#CEMS水校准项目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w:t>
      </w:r>
      <w:r>
        <w:rPr>
          <w:rFonts w:hint="eastAsia" w:ascii="仿宋" w:hAnsi="仿宋" w:eastAsia="仿宋" w:cs="仿宋"/>
          <w:sz w:val="30"/>
          <w:szCs w:val="30"/>
        </w:rPr>
        <w:t>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SX-ZH-JZ-2606017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5599" w:type="pct"/>
        <w:jc w:val="center"/>
        <w:tblLayout w:type="fixed"/>
        <w:tblCellMar>
          <w:top w:w="0" w:type="dxa"/>
          <w:left w:w="108" w:type="dxa"/>
          <w:bottom w:w="0" w:type="dxa"/>
          <w:right w:w="108" w:type="dxa"/>
        </w:tblCellMar>
      </w:tblPr>
      <w:tblGrid>
        <w:gridCol w:w="667"/>
        <w:gridCol w:w="1739"/>
        <w:gridCol w:w="2357"/>
        <w:gridCol w:w="4244"/>
        <w:gridCol w:w="1395"/>
      </w:tblGrid>
      <w:tr w14:paraId="48CE6597">
        <w:trPr>
          <w:trHeight w:val="467"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14:paraId="06B1B7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739" w:type="dxa"/>
            <w:tcBorders>
              <w:top w:val="single" w:color="000000" w:sz="4" w:space="0"/>
              <w:left w:val="single" w:color="000000" w:sz="4" w:space="0"/>
              <w:bottom w:val="single" w:color="000000" w:sz="4" w:space="0"/>
              <w:right w:val="single" w:color="000000" w:sz="4" w:space="0"/>
            </w:tcBorders>
            <w:noWrap/>
            <w:vAlign w:val="center"/>
          </w:tcPr>
          <w:p w14:paraId="161B53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357" w:type="dxa"/>
            <w:tcBorders>
              <w:top w:val="single" w:color="000000" w:sz="4" w:space="0"/>
              <w:left w:val="single" w:color="000000" w:sz="4" w:space="0"/>
              <w:bottom w:val="single" w:color="000000" w:sz="4" w:space="0"/>
              <w:right w:val="single" w:color="000000" w:sz="4" w:space="0"/>
            </w:tcBorders>
            <w:noWrap/>
            <w:vAlign w:val="center"/>
          </w:tcPr>
          <w:p w14:paraId="4BA9EAB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w:t>
            </w:r>
          </w:p>
        </w:tc>
        <w:tc>
          <w:tcPr>
            <w:tcW w:w="4244" w:type="dxa"/>
            <w:tcBorders>
              <w:top w:val="single" w:color="000000" w:sz="4" w:space="0"/>
              <w:left w:val="single" w:color="000000" w:sz="4" w:space="0"/>
              <w:bottom w:val="single" w:color="000000" w:sz="4" w:space="0"/>
              <w:right w:val="single" w:color="000000" w:sz="4" w:space="0"/>
            </w:tcBorders>
            <w:noWrap/>
            <w:vAlign w:val="center"/>
          </w:tcPr>
          <w:p w14:paraId="353ECF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工作量</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3E7073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技术要求</w:t>
            </w:r>
          </w:p>
        </w:tc>
      </w:tr>
      <w:tr w14:paraId="2BDB2D2C">
        <w:tblPrEx>
          <w:tblCellMar>
            <w:top w:w="0" w:type="dxa"/>
            <w:left w:w="108" w:type="dxa"/>
            <w:bottom w:w="0" w:type="dxa"/>
            <w:right w:w="108" w:type="dxa"/>
          </w:tblCellMar>
        </w:tblPrEx>
        <w:trPr>
          <w:trHeight w:val="1342" w:hRule="atLeast"/>
          <w:jc w:val="center"/>
        </w:trPr>
        <w:tc>
          <w:tcPr>
            <w:tcW w:w="667" w:type="dxa"/>
            <w:tcBorders>
              <w:top w:val="single" w:color="000000" w:sz="4" w:space="0"/>
              <w:left w:val="single" w:color="000000" w:sz="4" w:space="0"/>
              <w:bottom w:val="single" w:color="000000" w:sz="4" w:space="0"/>
              <w:right w:val="single" w:color="000000" w:sz="4" w:space="0"/>
            </w:tcBorders>
            <w:noWrap/>
            <w:vAlign w:val="center"/>
          </w:tcPr>
          <w:p w14:paraId="74C2163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noWrap w:val="0"/>
            <w:vAlign w:val="center"/>
          </w:tcPr>
          <w:p w14:paraId="224D6ED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1#、2#、3#CEMS水校准</w:t>
            </w:r>
          </w:p>
        </w:tc>
        <w:tc>
          <w:tcPr>
            <w:tcW w:w="2357" w:type="dxa"/>
            <w:tcBorders>
              <w:top w:val="single" w:color="000000" w:sz="4" w:space="0"/>
              <w:left w:val="single" w:color="000000" w:sz="4" w:space="0"/>
              <w:bottom w:val="single" w:color="000000" w:sz="4" w:space="0"/>
              <w:right w:val="single" w:color="000000" w:sz="4" w:space="0"/>
            </w:tcBorders>
            <w:noWrap w:val="0"/>
            <w:vAlign w:val="center"/>
          </w:tcPr>
          <w:p w14:paraId="1A0DF670">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1#、2#、3#CEMS设备水校准，设备性能状态检查</w:t>
            </w:r>
          </w:p>
        </w:tc>
        <w:tc>
          <w:tcPr>
            <w:tcW w:w="4244" w:type="dxa"/>
            <w:tcBorders>
              <w:top w:val="single" w:color="000000" w:sz="4" w:space="0"/>
              <w:left w:val="single" w:color="000000" w:sz="4" w:space="0"/>
              <w:bottom w:val="single" w:color="000000" w:sz="4" w:space="0"/>
              <w:right w:val="single" w:color="000000" w:sz="4" w:space="0"/>
            </w:tcBorders>
            <w:noWrap w:val="0"/>
            <w:vAlign w:val="center"/>
          </w:tcPr>
          <w:p w14:paraId="7D26D4D5">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1.1#、2#、3#CEMS设备水校准，检查校准设备水检测零点漂移、量程漂移；</w:t>
            </w:r>
          </w:p>
          <w:p w14:paraId="78E36F20">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2.检查仪器设备运行情况；</w:t>
            </w:r>
          </w:p>
          <w:p w14:paraId="6FA7766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3.气室反射镜检查；</w:t>
            </w:r>
          </w:p>
          <w:p w14:paraId="2ADF7E7D">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4.3台CEMS激光、红外光源检查。</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2FB778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详见询价文件</w:t>
            </w:r>
          </w:p>
        </w:tc>
      </w:tr>
    </w:tbl>
    <w:p w14:paraId="5EA2206A">
      <w:pPr>
        <w:rPr>
          <w:rFonts w:hint="eastAsia"/>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highlight w:val="none"/>
          <w:lang w:val="en-US" w:eastAsia="zh-CN" w:bidi="ar-SA"/>
        </w:rPr>
        <w:t>3.技术要求：</w:t>
      </w:r>
    </w:p>
    <w:p w14:paraId="72DCB413">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①校准完成后，R20的零点漂移和量程漂移均小于仪器出厂技术标准，且各检测值与水校准仪示值基本一致，数据连续稳定，数据重复性好，准确性好，满足HJ75-2017《固定污染源烟气（S02、NOx、颗粒物）排放连续监测技术规范》中对湿度准确度的要求：烟气湿度&gt;5%时，相对误差不超过±25%，烟气湿度&lt;5%时，绝对误差不超过土1.5%的要求；</w:t>
      </w:r>
    </w:p>
    <w:p w14:paraId="0B3892E1">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②服务及校准成果必须完全符合HJ 75-2017、HJ 76-2017、垃圾焚烧自动监测数据管理相关规定，适配SICK原厂算法与参数逻辑，可顺利通过环保核查、监督性比对、排污许可核查。</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人民币5.7</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二、报价人要求。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7月10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9</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7月3</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879"/>
      <w:bookmarkStart w:id="10" w:name="_Toc530583922"/>
      <w:bookmarkStart w:id="11" w:name="_Toc27761"/>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w:t>
      </w:r>
      <w:r>
        <w:rPr>
          <w:rFonts w:hint="eastAsia" w:ascii="仿宋_GB2312" w:hAnsi="宋体" w:eastAsia="仿宋_GB2312"/>
          <w:sz w:val="30"/>
          <w:szCs w:val="30"/>
          <w:highlight w:val="none"/>
          <w:lang w:val="en-US" w:eastAsia="zh-CN"/>
        </w:rPr>
        <w:t>“服务方”</w:t>
      </w:r>
      <w:r>
        <w:rPr>
          <w:rFonts w:hint="eastAsia" w:ascii="仿宋_GB2312" w:hAnsi="宋体" w:eastAsia="仿宋_GB2312"/>
          <w:sz w:val="30"/>
          <w:szCs w:val="30"/>
          <w:lang w:val="en-US" w:eastAsia="zh-CN"/>
        </w:rPr>
        <w:t>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75AC62A6">
      <w:pPr>
        <w:pageBreakBefore w:val="0"/>
        <w:kinsoku/>
        <w:wordWrap/>
        <w:topLinePunct w:val="0"/>
        <w:bidi w:val="0"/>
        <w:snapToGrid w:val="0"/>
        <w:spacing w:line="360" w:lineRule="auto"/>
        <w:ind w:right="-176" w:rightChars="-84" w:firstLine="600"/>
        <w:outlineLvl w:val="1"/>
        <w:rPr>
          <w:rFonts w:hint="eastAsia" w:ascii="仿宋_GB2312" w:hAnsi="宋体" w:eastAsia="仿宋_GB2312"/>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三</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highlight w:val="yellow"/>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highlight w:val="none"/>
        </w:rPr>
      </w:pPr>
      <w:bookmarkStart w:id="12" w:name="_Toc14305"/>
      <w:r>
        <w:rPr>
          <w:rFonts w:hint="eastAsia" w:ascii="仿宋" w:hAnsi="仿宋" w:eastAsia="仿宋" w:cs="仿宋"/>
          <w:snapToGrid w:val="0"/>
          <w:sz w:val="44"/>
          <w:szCs w:val="44"/>
          <w:highlight w:val="none"/>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一、</w:t>
      </w:r>
      <w:r>
        <w:rPr>
          <w:rFonts w:hint="eastAsia" w:ascii="仿宋" w:hAnsi="仿宋" w:eastAsia="仿宋" w:cs="仿宋"/>
          <w:color w:val="auto"/>
          <w:kern w:val="2"/>
          <w:sz w:val="30"/>
          <w:szCs w:val="30"/>
          <w:highlight w:val="none"/>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50D646C6">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服务方需在完成所有设备的校准、检查及调试工作后，30 日内出具校正结果书面报告。</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验收合格后，服务方出具经双方确认的校正结果书面报告及等额、合法、有效的增值税专用发票，采购人自收到准确报告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须继续为保持 CEMS 系统正常运行提供相关的技术指导或服务工作一年。履约保证金（合同价的 5%）须于合同签订前汇至采购人指定账户；待一年技术指导及服务期满，且服务方无违约行为、经采购人确认无误后无息退还。</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的派遣人员产生的一切费用由供应商承担。</w:t>
      </w:r>
    </w:p>
    <w:p w14:paraId="54F100F9">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25686"/>
      <w:r>
        <w:rPr>
          <w:rFonts w:hint="eastAsia" w:ascii="仿宋" w:hAnsi="仿宋" w:eastAsia="仿宋" w:cs="仿宋"/>
          <w:snapToGrid w:val="0"/>
          <w:sz w:val="44"/>
          <w:szCs w:val="44"/>
          <w:lang w:val="en-US" w:eastAsia="zh-CN"/>
        </w:rPr>
        <w:t>合同主要条款（供参考）</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w:t>
      </w:r>
      <w:r>
        <w:rPr>
          <w:rFonts w:hint="eastAsia" w:eastAsia="方正仿宋_GBK" w:cs="Times New Roman"/>
          <w:sz w:val="28"/>
          <w:szCs w:val="28"/>
          <w:lang w:val="en-US" w:eastAsia="zh-CN"/>
        </w:rPr>
        <w:t>甲乙</w:t>
      </w:r>
      <w:r>
        <w:rPr>
          <w:rFonts w:hint="eastAsia" w:ascii="Times New Roman" w:hAnsi="Times New Roman" w:eastAsia="方正仿宋_GBK" w:cs="Times New Roman"/>
          <w:sz w:val="28"/>
          <w:szCs w:val="28"/>
        </w:rPr>
        <w:t>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lang w:eastAsia="zh-CN"/>
        </w:rPr>
        <w:t>第一条</w:t>
      </w:r>
      <w:r>
        <w:rPr>
          <w:rFonts w:hint="eastAsia" w:ascii="黑体" w:hAnsi="黑体" w:eastAsia="黑体" w:cs="黑体"/>
          <w:sz w:val="28"/>
          <w:szCs w:val="28"/>
          <w:highlight w:val="none"/>
          <w:lang w:val="en-US" w:eastAsia="zh-CN"/>
        </w:rPr>
        <w:t xml:space="preserve"> 服务</w:t>
      </w:r>
      <w:r>
        <w:rPr>
          <w:rFonts w:hint="eastAsia" w:ascii="黑体" w:hAnsi="黑体" w:eastAsia="黑体" w:cs="黑体"/>
          <w:sz w:val="28"/>
          <w:szCs w:val="28"/>
          <w:highlight w:val="none"/>
        </w:rPr>
        <w:t>范围及价格</w:t>
      </w:r>
    </w:p>
    <w:tbl>
      <w:tblPr>
        <w:tblStyle w:val="13"/>
        <w:tblW w:w="10967" w:type="dxa"/>
        <w:jc w:val="center"/>
        <w:tblLayout w:type="fixed"/>
        <w:tblCellMar>
          <w:top w:w="0" w:type="dxa"/>
          <w:left w:w="108" w:type="dxa"/>
          <w:bottom w:w="0" w:type="dxa"/>
          <w:right w:w="108" w:type="dxa"/>
        </w:tblCellMar>
      </w:tblPr>
      <w:tblGrid>
        <w:gridCol w:w="751"/>
        <w:gridCol w:w="1439"/>
        <w:gridCol w:w="2046"/>
        <w:gridCol w:w="1320"/>
        <w:gridCol w:w="2593"/>
        <w:gridCol w:w="2818"/>
      </w:tblGrid>
      <w:tr w14:paraId="29AA74A6">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adjustRightInd/>
              <w:snapToGrid/>
              <w:spacing w:after="0"/>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adjustRightInd/>
              <w:snapToGrid/>
              <w:spacing w:after="0"/>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项目名称</w:t>
            </w:r>
          </w:p>
        </w:tc>
        <w:tc>
          <w:tcPr>
            <w:tcW w:w="2046" w:type="dxa"/>
            <w:tcBorders>
              <w:top w:val="single" w:color="auto" w:sz="4" w:space="0"/>
              <w:left w:val="nil"/>
              <w:bottom w:val="single" w:color="auto" w:sz="4" w:space="0"/>
              <w:right w:val="single" w:color="auto" w:sz="4" w:space="0"/>
            </w:tcBorders>
            <w:noWrap w:val="0"/>
            <w:vAlign w:val="center"/>
          </w:tcPr>
          <w:p w14:paraId="49F54B8F">
            <w:pPr>
              <w:adjustRightInd/>
              <w:snapToGrid/>
              <w:spacing w:after="0"/>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内容</w:t>
            </w:r>
          </w:p>
        </w:tc>
        <w:tc>
          <w:tcPr>
            <w:tcW w:w="1320" w:type="dxa"/>
            <w:tcBorders>
              <w:top w:val="single" w:color="auto" w:sz="4" w:space="0"/>
              <w:left w:val="nil"/>
              <w:bottom w:val="single" w:color="auto" w:sz="4" w:space="0"/>
              <w:right w:val="single" w:color="auto" w:sz="4" w:space="0"/>
            </w:tcBorders>
            <w:noWrap w:val="0"/>
            <w:vAlign w:val="center"/>
          </w:tcPr>
          <w:p w14:paraId="15113C0B">
            <w:pPr>
              <w:adjustRightInd/>
              <w:snapToGrid/>
              <w:spacing w:after="0"/>
              <w:jc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工作量</w:t>
            </w:r>
          </w:p>
        </w:tc>
        <w:tc>
          <w:tcPr>
            <w:tcW w:w="2593" w:type="dxa"/>
            <w:tcBorders>
              <w:top w:val="single" w:color="auto" w:sz="4" w:space="0"/>
              <w:left w:val="nil"/>
              <w:bottom w:val="single" w:color="auto" w:sz="4" w:space="0"/>
              <w:right w:val="single" w:color="auto" w:sz="4" w:space="0"/>
            </w:tcBorders>
            <w:noWrap w:val="0"/>
            <w:vAlign w:val="center"/>
          </w:tcPr>
          <w:p w14:paraId="1882BA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技术要求</w:t>
            </w:r>
          </w:p>
        </w:tc>
        <w:tc>
          <w:tcPr>
            <w:tcW w:w="2818" w:type="dxa"/>
            <w:tcBorders>
              <w:top w:val="single" w:color="auto" w:sz="4" w:space="0"/>
              <w:left w:val="nil"/>
              <w:bottom w:val="single" w:color="auto" w:sz="4" w:space="0"/>
              <w:right w:val="single" w:color="auto" w:sz="4" w:space="0"/>
            </w:tcBorders>
            <w:noWrap w:val="0"/>
            <w:vAlign w:val="center"/>
          </w:tcPr>
          <w:p w14:paraId="5D4B485B">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lang w:val="en-US" w:eastAsia="zh-CN"/>
              </w:rPr>
              <w:t>金额（元）</w:t>
            </w:r>
          </w:p>
        </w:tc>
      </w:tr>
      <w:tr w14:paraId="56798474">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2046"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1320"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2593"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c>
          <w:tcPr>
            <w:tcW w:w="2818" w:type="dxa"/>
            <w:tcBorders>
              <w:top w:val="nil"/>
              <w:left w:val="nil"/>
              <w:bottom w:val="single" w:color="auto" w:sz="4" w:space="0"/>
              <w:right w:val="single" w:color="auto" w:sz="4" w:space="0"/>
            </w:tcBorders>
            <w:noWrap w:val="0"/>
            <w:vAlign w:val="center"/>
          </w:tcPr>
          <w:p w14:paraId="32553EA7">
            <w:pPr>
              <w:adjustRightInd/>
              <w:snapToGrid/>
              <w:spacing w:after="0"/>
              <w:jc w:val="center"/>
              <w:rPr>
                <w:rFonts w:hint="eastAsia" w:ascii="Times New Roman" w:hAnsi="Times New Roman" w:eastAsia="方正仿宋_GBK" w:cs="Times New Roman"/>
                <w:b/>
                <w:bCs/>
                <w:sz w:val="24"/>
                <w:szCs w:val="24"/>
              </w:rPr>
            </w:pPr>
          </w:p>
        </w:tc>
      </w:tr>
      <w:tr w14:paraId="365F6283">
        <w:tblPrEx>
          <w:tblCellMar>
            <w:top w:w="0" w:type="dxa"/>
            <w:left w:w="108" w:type="dxa"/>
            <w:bottom w:w="0" w:type="dxa"/>
            <w:right w:w="108" w:type="dxa"/>
          </w:tblCellMar>
        </w:tblPrEx>
        <w:trPr>
          <w:trHeight w:val="836" w:hRule="atLeast"/>
          <w:jc w:val="center"/>
        </w:trPr>
        <w:tc>
          <w:tcPr>
            <w:tcW w:w="8149" w:type="dxa"/>
            <w:gridSpan w:val="5"/>
            <w:tcBorders>
              <w:top w:val="nil"/>
              <w:left w:val="single" w:color="auto" w:sz="4" w:space="0"/>
              <w:bottom w:val="single" w:color="auto" w:sz="4" w:space="0"/>
              <w:right w:val="single" w:color="auto" w:sz="4" w:space="0"/>
            </w:tcBorders>
            <w:noWrap w:val="0"/>
            <w:vAlign w:val="center"/>
          </w:tcPr>
          <w:p w14:paraId="3DC161D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818" w:type="dxa"/>
            <w:tcBorders>
              <w:top w:val="nil"/>
              <w:left w:val="single" w:color="auto" w:sz="4" w:space="0"/>
              <w:bottom w:val="single" w:color="auto" w:sz="4" w:space="0"/>
              <w:right w:val="single" w:color="auto" w:sz="4" w:space="0"/>
            </w:tcBorders>
            <w:noWrap w:val="0"/>
            <w:vAlign w:val="center"/>
          </w:tcPr>
          <w:p w14:paraId="6A94C4AE">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0C8556FF">
        <w:tblPrEx>
          <w:tblCellMar>
            <w:top w:w="0" w:type="dxa"/>
            <w:left w:w="108" w:type="dxa"/>
            <w:bottom w:w="0" w:type="dxa"/>
            <w:right w:w="108" w:type="dxa"/>
          </w:tblCellMar>
        </w:tblPrEx>
        <w:trPr>
          <w:trHeight w:val="716" w:hRule="atLeast"/>
          <w:jc w:val="center"/>
        </w:trPr>
        <w:tc>
          <w:tcPr>
            <w:tcW w:w="10967" w:type="dxa"/>
            <w:gridSpan w:val="6"/>
            <w:tcBorders>
              <w:top w:val="nil"/>
              <w:left w:val="single" w:color="auto" w:sz="4" w:space="0"/>
              <w:bottom w:val="single" w:color="auto" w:sz="4" w:space="0"/>
              <w:right w:val="single" w:color="auto" w:sz="4" w:space="0"/>
            </w:tcBorders>
            <w:noWrap w:val="0"/>
            <w:vAlign w:val="center"/>
          </w:tcPr>
          <w:p w14:paraId="61EE78DA">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highlight w:val="none"/>
        </w:rPr>
        <w:t xml:space="preserve"> </w:t>
      </w:r>
      <w:r>
        <w:rPr>
          <w:rFonts w:hint="eastAsia" w:ascii="黑体" w:hAnsi="黑体" w:eastAsia="黑体" w:cs="黑体"/>
          <w:sz w:val="28"/>
          <w:szCs w:val="28"/>
          <w:highlight w:val="none"/>
          <w:lang w:val="en-US" w:eastAsia="zh-CN"/>
        </w:rPr>
        <w:t>服务</w:t>
      </w:r>
      <w:r>
        <w:rPr>
          <w:rFonts w:hint="eastAsia" w:ascii="黑体" w:hAnsi="黑体" w:eastAsia="黑体" w:cs="黑体"/>
          <w:sz w:val="28"/>
          <w:szCs w:val="28"/>
          <w:highlight w:val="none"/>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1.</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乙方需在完成所有设备的校准、检查及调试工作后，30 日内出具校正结果书面报告</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yellow"/>
          <w:lang w:val="en-US" w:eastAsia="zh-CN"/>
        </w:rPr>
      </w:pPr>
      <w:r>
        <w:rPr>
          <w:rFonts w:hint="eastAsia" w:ascii="黑体" w:hAnsi="黑体" w:eastAsia="黑体" w:cs="黑体"/>
          <w:sz w:val="28"/>
          <w:szCs w:val="28"/>
        </w:rPr>
        <w:t xml:space="preserve">第三条 </w:t>
      </w:r>
      <w:r>
        <w:rPr>
          <w:rFonts w:hint="eastAsia" w:ascii="黑体" w:hAnsi="黑体" w:eastAsia="黑体" w:cs="黑体"/>
          <w:sz w:val="28"/>
          <w:szCs w:val="28"/>
          <w:lang w:val="en-US" w:eastAsia="zh-CN"/>
        </w:rPr>
        <w:t>技术要求及工作量</w:t>
      </w:r>
    </w:p>
    <w:p w14:paraId="498B531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p w14:paraId="124FF85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校准完成后，R20的零点漂移和量程漂移均小于仪器出厂技术标准，且各检测值与水校准仪示值基本一致，数据连续稳定，数据重复性好，准确性好，满足HJ75-2017《固定污染源烟气（S02、NOx、颗粒物）排放连续监测技术规范》中对湿度准确度的要求：烟气湿度&gt;5%时，相对误差不超过±25%，烟气湿度&lt;5%时，绝对误差不超过土1.5%的要求；</w:t>
      </w:r>
    </w:p>
    <w:p w14:paraId="1785B67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2.服务及校准成果必须完全符合HJ 75-2017、HJ 76-2017、垃圾焚烧自动监测数据管理相关规定，适配SICK原厂算法与参数逻辑，可顺利通过环保核查、监督性比对、排污许可核查。</w:t>
      </w:r>
    </w:p>
    <w:p w14:paraId="3E5DF19B">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w:t>
      </w:r>
    </w:p>
    <w:p w14:paraId="1E4C6E0F">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1.1#、2#、3#CEMS设备水校准，检查校准设备水检测零点漂移、量程漂移；</w:t>
      </w:r>
    </w:p>
    <w:p w14:paraId="52E7E34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2.检查仪器设备运行情况；</w:t>
      </w:r>
    </w:p>
    <w:p w14:paraId="12FC82A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3.气室反射镜检查；</w:t>
      </w:r>
    </w:p>
    <w:p w14:paraId="238FDF5E">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lang w:val="en-US" w:eastAsia="zh-CN"/>
        </w:rPr>
      </w:pPr>
      <w:r>
        <w:rPr>
          <w:rFonts w:hint="eastAsia" w:ascii="方正仿宋_GBK" w:hAnsi="方正仿宋_GBK" w:eastAsia="方正仿宋_GBK" w:cs="方正仿宋_GBK"/>
          <w:sz w:val="28"/>
          <w:szCs w:val="28"/>
          <w:highlight w:val="none"/>
          <w:lang w:val="en-US" w:eastAsia="zh-CN"/>
        </w:rPr>
        <w:t>4.3台CEMS激光、红外光源检查。</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w:t>
      </w:r>
      <w:r>
        <w:rPr>
          <w:rFonts w:hint="eastAsia" w:ascii="方正仿宋_GBK" w:hAnsi="方正仿宋_GBK" w:eastAsia="方正仿宋_GBK" w:cs="方正仿宋_GBK"/>
          <w:sz w:val="28"/>
          <w:szCs w:val="28"/>
          <w:highlight w:val="none"/>
        </w:rPr>
        <w:t>为固定</w:t>
      </w:r>
      <w:r>
        <w:rPr>
          <w:rFonts w:hint="eastAsia" w:ascii="方正仿宋_GBK" w:hAnsi="方正仿宋_GBK" w:eastAsia="方正仿宋_GBK" w:cs="方正仿宋_GBK"/>
          <w:sz w:val="28"/>
          <w:szCs w:val="28"/>
          <w:highlight w:val="none"/>
          <w:lang w:val="en-US" w:eastAsia="zh-CN"/>
        </w:rPr>
        <w:t>总价</w:t>
      </w:r>
      <w:r>
        <w:rPr>
          <w:rFonts w:hint="eastAsia" w:ascii="方正仿宋_GBK" w:hAnsi="方正仿宋_GBK" w:eastAsia="方正仿宋_GBK" w:cs="方正仿宋_GBK"/>
          <w:sz w:val="28"/>
          <w:szCs w:val="28"/>
          <w:highlight w:val="none"/>
        </w:rPr>
        <w:t>合</w:t>
      </w:r>
      <w:r>
        <w:rPr>
          <w:rFonts w:hint="eastAsia" w:ascii="方正仿宋_GBK" w:hAnsi="方正仿宋_GBK" w:eastAsia="方正仿宋_GBK" w:cs="方正仿宋_GBK"/>
          <w:sz w:val="28"/>
          <w:szCs w:val="28"/>
        </w:rPr>
        <w:t>同，金额包含技术人员差旅费、高精度校准仪器使用费、辅材消耗费、检测报告编制费、税费及一年期技术指导服务费等完成本</w:t>
      </w:r>
      <w:r>
        <w:rPr>
          <w:rFonts w:hint="eastAsia" w:ascii="方正仿宋_GBK" w:hAnsi="方正仿宋_GBK" w:eastAsia="方正仿宋_GBK" w:cs="方正仿宋_GBK"/>
          <w:sz w:val="28"/>
          <w:szCs w:val="28"/>
          <w:lang w:val="en-US" w:eastAsia="zh-CN"/>
        </w:rPr>
        <w:t>合同</w:t>
      </w:r>
      <w:r>
        <w:rPr>
          <w:rFonts w:hint="eastAsia" w:ascii="方正仿宋_GBK" w:hAnsi="方正仿宋_GBK" w:eastAsia="方正仿宋_GBK" w:cs="方正仿宋_GBK"/>
          <w:sz w:val="28"/>
          <w:szCs w:val="28"/>
        </w:rPr>
        <w:t>所需的一切费用</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lang w:val="en-US" w:eastAsia="zh-CN"/>
        </w:rPr>
        <w:t>甲乙</w:t>
      </w:r>
      <w:r>
        <w:rPr>
          <w:rFonts w:hint="eastAsia" w:ascii="方正仿宋_GBK" w:hAnsi="方正仿宋_GBK" w:eastAsia="方正仿宋_GBK" w:cs="方正仿宋_GBK"/>
          <w:sz w:val="28"/>
          <w:szCs w:val="28"/>
        </w:rPr>
        <w:t>双方不能因市场价格</w:t>
      </w:r>
      <w:r>
        <w:rPr>
          <w:rFonts w:hint="eastAsia" w:ascii="方正仿宋_GBK" w:hAnsi="方正仿宋_GBK" w:eastAsia="方正仿宋_GBK" w:cs="方正仿宋_GBK"/>
          <w:sz w:val="28"/>
          <w:szCs w:val="28"/>
          <w:highlight w:val="none"/>
        </w:rPr>
        <w:t>变化</w:t>
      </w:r>
      <w:r>
        <w:rPr>
          <w:rFonts w:hint="eastAsia" w:ascii="方正仿宋_GBK" w:hAnsi="方正仿宋_GBK" w:eastAsia="方正仿宋_GBK" w:cs="方正仿宋_GBK"/>
          <w:sz w:val="28"/>
          <w:szCs w:val="28"/>
          <w:highlight w:val="none"/>
          <w:lang w:val="en-US" w:eastAsia="zh-CN"/>
        </w:rPr>
        <w:t>或任何因素</w:t>
      </w:r>
      <w:r>
        <w:rPr>
          <w:rFonts w:hint="eastAsia" w:ascii="方正仿宋_GBK" w:hAnsi="方正仿宋_GBK" w:eastAsia="方正仿宋_GBK" w:cs="方正仿宋_GBK"/>
          <w:sz w:val="28"/>
          <w:szCs w:val="28"/>
          <w:highlight w:val="none"/>
        </w:rPr>
        <w:t>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完成且验收合格后，乙方出具经双方确认的校正结果书面报告及等额、合法、有效的增值税专用发票，采购人自收到准确报告和发票后，于次二月完成款项支付，若乙方未按时提供发票，或提供的发票不符合税务及甲方财务要求（包括但不限于信息错误、无法认证等），甲方有权顺延付款期限，直至收到合规发票为止。由此产生的付款延迟不视为甲方违约，甲方无需承担任何逾期付款利息或违约责任。乙方须继续为保持 CEMS 系统正常运行提供相关的技术指导或服务工作一年。履约保证金（合同价的 5%）须于合同签订前汇至甲方指定账户；待一年技术指导及服务期满，且乙方无违约行为、经甲方确认无误后无息退还。</w:t>
      </w:r>
    </w:p>
    <w:p w14:paraId="1DA5C840">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乙</w:t>
      </w:r>
      <w:r>
        <w:rPr>
          <w:rFonts w:hint="eastAsia" w:ascii="方正仿宋_GBK" w:hAnsi="方正仿宋_GBK" w:eastAsia="方正仿宋_GBK" w:cs="方正仿宋_GBK"/>
          <w:sz w:val="28"/>
          <w:szCs w:val="28"/>
          <w:highlight w:val="none"/>
          <w:lang w:eastAsia="zh-CN"/>
        </w:rPr>
        <w:t>方应提供相应的送货单，甲方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到厂验收，只能视为初步验收，即可合同要求予以接收，并不能视为</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 xml:space="preserve">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eastAsia="zh-CN"/>
        </w:rPr>
        <w:t>若发现质量不合格者，甲方有权拒收，并视为材料并未到场。</w:t>
      </w:r>
      <w:r>
        <w:rPr>
          <w:rFonts w:hint="eastAsia" w:ascii="方正仿宋_GBK" w:hAnsi="方正仿宋_GBK" w:eastAsia="方正仿宋_GBK" w:cs="方正仿宋_GBK"/>
          <w:sz w:val="28"/>
          <w:szCs w:val="28"/>
          <w:highlight w:val="none"/>
          <w:lang w:val="en-US" w:eastAsia="zh-CN"/>
        </w:rPr>
        <w:t>乙</w:t>
      </w:r>
      <w:r>
        <w:rPr>
          <w:rFonts w:hint="eastAsia" w:ascii="方正仿宋_GBK" w:hAnsi="方正仿宋_GBK" w:eastAsia="方正仿宋_GBK" w:cs="方正仿宋_GBK"/>
          <w:sz w:val="28"/>
          <w:szCs w:val="28"/>
          <w:highlight w:val="none"/>
          <w:lang w:eastAsia="zh-CN"/>
        </w:rPr>
        <w:t>方应无条件将不合格货品运出现场，由此产生的相关费用及给甲方造成的一切损失由乙方承担。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乙方所交付的货品必须包装完整，并采取防潮、防湿、防震、防锈、防腐蚀等措施，以保证在长途运输中经受多次搬运和装卸后，货物完好无损，安全到达目的地。由于采用不充分或不妥善的防护措施造成货物的任何损坏、腐蚀或变形，乙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三</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lang w:eastAsia="zh-CN"/>
        </w:rPr>
        <w:t>乙方</w:t>
      </w:r>
      <w:r>
        <w:rPr>
          <w:rFonts w:hint="eastAsia" w:ascii="方正仿宋_GBK" w:hAnsi="方正仿宋_GBK" w:eastAsia="方正仿宋_GBK" w:cs="方正仿宋_GBK"/>
          <w:sz w:val="28"/>
          <w:szCs w:val="28"/>
          <w:highlight w:val="none"/>
        </w:rPr>
        <w:t>保</w:t>
      </w:r>
      <w:r>
        <w:rPr>
          <w:rFonts w:hint="eastAsia" w:ascii="方正仿宋_GBK" w:hAnsi="方正仿宋_GBK" w:eastAsia="方正仿宋_GBK" w:cs="方正仿宋_GBK"/>
          <w:sz w:val="28"/>
          <w:szCs w:val="28"/>
        </w:rPr>
        <w:t>证其供应的本合同标的是全新的，技术水平先进、成熟、质量优良、安全可靠、经济运行和易于维护。本合同下质量标准为国家标准及相关行业标准（不同标准之间如有冲突，比较严格者为准）。在正常使用过程中，如有产品质量问题，</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汽车运输到指定地点，运输费用由</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 xml:space="preserve">承担。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甲乙双方的任何一方由于不可抗力的原因不能履行合同时，应及时向对方通报不能履行或不能完全履行的理由。在取得有关证明后，允许延期履行、部分履行或解除合同。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本合同在履行过程中发生的争议，由双方当事人协商解决；也可由当地工商行政管理部门调解；协商或调解不成的，依法向</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 xml:space="preserve">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必须满足</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甲方</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甲方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乙方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7E16357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AAECF1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2907C0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19096"/>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18C6F9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1#、2#、3#CEMS水校准项目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6" w:name="_Toc19746"/>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6"/>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1#、2#、3#CEMS水校准项目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SX-ZH-JZ-2606017</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1444F8AA">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7" w:name="_Toc32005"/>
      <w:r>
        <w:rPr>
          <w:rStyle w:val="21"/>
          <w:rFonts w:hint="eastAsia" w:ascii="仿宋" w:hAnsi="仿宋" w:eastAsia="仿宋" w:cs="仿宋"/>
          <w:sz w:val="30"/>
        </w:rPr>
        <w:t>附件一：</w:t>
      </w:r>
      <w:bookmarkEnd w:id="17"/>
    </w:p>
    <w:p w14:paraId="289347F0">
      <w:pPr>
        <w:jc w:val="left"/>
        <w:outlineLvl w:val="0"/>
        <w:rPr>
          <w:rStyle w:val="21"/>
          <w:rFonts w:hint="eastAsia" w:ascii="仿宋" w:hAnsi="仿宋" w:eastAsia="仿宋" w:cs="仿宋"/>
          <w:sz w:val="30"/>
        </w:rPr>
      </w:pP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1#、2#、3#CEMS水校准 </w:t>
      </w:r>
      <w:r>
        <w:rPr>
          <w:rFonts w:hint="eastAsia" w:ascii="仿宋" w:hAnsi="仿宋" w:eastAsia="仿宋" w:cs="仿宋"/>
          <w:sz w:val="30"/>
          <w:szCs w:val="30"/>
          <w:u w:val="none"/>
          <w:lang w:val="en-US" w:eastAsia="zh-CN"/>
        </w:rPr>
        <w:t>项目。</w:t>
      </w:r>
    </w:p>
    <w:tbl>
      <w:tblPr>
        <w:tblStyle w:val="13"/>
        <w:tblW w:w="10170" w:type="dxa"/>
        <w:jc w:val="center"/>
        <w:tblLayout w:type="fixed"/>
        <w:tblCellMar>
          <w:top w:w="0" w:type="dxa"/>
          <w:left w:w="108" w:type="dxa"/>
          <w:bottom w:w="0" w:type="dxa"/>
          <w:right w:w="108" w:type="dxa"/>
        </w:tblCellMar>
      </w:tblPr>
      <w:tblGrid>
        <w:gridCol w:w="696"/>
        <w:gridCol w:w="1561"/>
        <w:gridCol w:w="2059"/>
        <w:gridCol w:w="3241"/>
        <w:gridCol w:w="1530"/>
        <w:gridCol w:w="1083"/>
      </w:tblGrid>
      <w:tr w14:paraId="62371E9A">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15DF82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298236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4E0FB9E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w:t>
            </w:r>
          </w:p>
        </w:tc>
        <w:tc>
          <w:tcPr>
            <w:tcW w:w="3241" w:type="dxa"/>
            <w:tcBorders>
              <w:top w:val="single" w:color="000000" w:sz="4" w:space="0"/>
              <w:left w:val="single" w:color="000000" w:sz="4" w:space="0"/>
              <w:bottom w:val="single" w:color="000000" w:sz="4" w:space="0"/>
              <w:right w:val="single" w:color="000000" w:sz="4" w:space="0"/>
            </w:tcBorders>
            <w:noWrap/>
            <w:vAlign w:val="center"/>
          </w:tcPr>
          <w:p w14:paraId="7AA307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工作量</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04EDA3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03072E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p w14:paraId="003D4E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w:t>
            </w:r>
          </w:p>
        </w:tc>
      </w:tr>
      <w:tr w14:paraId="4E0BB610">
        <w:tblPrEx>
          <w:tblCellMar>
            <w:top w:w="0" w:type="dxa"/>
            <w:left w:w="108" w:type="dxa"/>
            <w:bottom w:w="0" w:type="dxa"/>
            <w:right w:w="108" w:type="dxa"/>
          </w:tblCellMar>
        </w:tblPrEx>
        <w:trPr>
          <w:trHeight w:val="1342"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56870BD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14:paraId="54FDEB09">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lang w:eastAsia="zh-CN"/>
              </w:rPr>
              <w:t>1#、2#、3#CEMS水校准</w:t>
            </w: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1B10BD13">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1#、2#、3#CEMS设备水校准，设备性能状态检查</w:t>
            </w:r>
          </w:p>
        </w:tc>
        <w:tc>
          <w:tcPr>
            <w:tcW w:w="3241" w:type="dxa"/>
            <w:tcBorders>
              <w:top w:val="single" w:color="000000" w:sz="4" w:space="0"/>
              <w:left w:val="single" w:color="000000" w:sz="4" w:space="0"/>
              <w:bottom w:val="single" w:color="000000" w:sz="4" w:space="0"/>
              <w:right w:val="single" w:color="000000" w:sz="4" w:space="0"/>
            </w:tcBorders>
            <w:noWrap w:val="0"/>
            <w:vAlign w:val="center"/>
          </w:tcPr>
          <w:p w14:paraId="0F3C7C2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1.1#、2#、3#CEMS设备水校准，检查校准设备水检测零点漂移、量程漂移；</w:t>
            </w:r>
          </w:p>
          <w:p w14:paraId="2023EBAE">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2.检查仪器设备运行情况；</w:t>
            </w:r>
          </w:p>
          <w:p w14:paraId="2E4871DF">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3.气室反射镜检查；</w:t>
            </w:r>
          </w:p>
          <w:p w14:paraId="62597DF8">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strike w:val="0"/>
                <w:dstrike w:val="0"/>
                <w:color w:val="000000"/>
                <w:sz w:val="24"/>
                <w:szCs w:val="24"/>
                <w:highlight w:val="none"/>
                <w:u w:val="none"/>
                <w:lang w:val="en-US" w:eastAsia="zh-CN"/>
              </w:rPr>
              <w:t>4.3台CEMS激光、红外光源检查。</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78673D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详见询价文件</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0CB89E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35D8E54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highlight w:val="none"/>
        </w:rPr>
        <w:t>报价如下：（</w:t>
      </w:r>
      <w:r>
        <w:rPr>
          <w:rFonts w:hint="eastAsia" w:ascii="仿宋" w:hAnsi="仿宋" w:eastAsia="仿宋" w:cs="仿宋"/>
          <w:sz w:val="30"/>
          <w:szCs w:val="30"/>
          <w:highlight w:val="none"/>
          <w:lang w:eastAsia="zh-CN"/>
        </w:rPr>
        <w:t>总金额</w:t>
      </w:r>
      <w:r>
        <w:rPr>
          <w:rFonts w:hint="eastAsia" w:ascii="仿宋" w:hAnsi="仿宋" w:eastAsia="仿宋" w:cs="仿宋"/>
          <w:sz w:val="30"/>
          <w:szCs w:val="30"/>
          <w:highlight w:val="none"/>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完成且验收合格后，服务方出具经双方确认的校正结果书面报告及等额、合法、有效的增值税专用发票，采购人自收到准确报告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须继续为保持CEMS系统正常运行提供相关的技术指导或服务工作一年。履约保证金（合同价的5%）须于合同签订前汇至采购人指定账户；待一年技术指</w:t>
      </w:r>
      <w:r>
        <w:rPr>
          <w:rFonts w:hint="eastAsia" w:ascii="仿宋" w:hAnsi="仿宋" w:eastAsia="仿宋" w:cs="仿宋"/>
          <w:sz w:val="30"/>
          <w:szCs w:val="30"/>
          <w:highlight w:val="none"/>
          <w:lang w:val="en-US" w:eastAsia="zh-CN"/>
        </w:rPr>
        <w:t>导及服务期满，且服务方无违约行为、经采购人确认无误后无息退还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目采购总金额限价人民币5.7</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2.该采购项目履约保证金为合同价的5%。服务方于合同签订前将履约保证金打入采购人指定账户。项目完成后，履约保证金转为质保金。质保期满后，采购人退还质保金（无息）。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预成交公示结束后，服务方在收到采购人拟订合同（所中标项</w:t>
      </w:r>
      <w:r>
        <w:rPr>
          <w:rFonts w:hint="eastAsia" w:ascii="仿宋" w:hAnsi="仿宋" w:eastAsia="仿宋" w:cs="仿宋"/>
          <w:color w:val="auto"/>
          <w:sz w:val="30"/>
          <w:szCs w:val="30"/>
          <w:lang w:val="en-US" w:eastAsia="zh-CN"/>
        </w:rPr>
        <w:t>目）电子版本后，确认无误并签署盖章，2天内邮寄给采购人。合同上的签订时间与采购人实际收到合同时间原则上不超过5天。否则视为服务方自动放弃，采购人有权解除合同。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61E60FB5">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E1333BF">
      <w:pPr>
        <w:jc w:val="left"/>
        <w:outlineLvl w:val="0"/>
        <w:rPr>
          <w:rStyle w:val="21"/>
          <w:rFonts w:hint="eastAsia" w:ascii="仿宋" w:hAnsi="仿宋" w:eastAsia="仿宋" w:cs="仿宋"/>
          <w:sz w:val="30"/>
        </w:rPr>
      </w:pPr>
      <w:bookmarkStart w:id="18" w:name="_Toc134"/>
      <w:bookmarkStart w:id="19" w:name="_Toc108839328"/>
      <w:bookmarkStart w:id="20" w:name="_Toc103165678"/>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8"/>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1#、2#、3#CEMS水校准 </w:t>
      </w:r>
      <w:r>
        <w:rPr>
          <w:rFonts w:hint="eastAsia" w:ascii="仿宋" w:hAnsi="仿宋" w:eastAsia="仿宋" w:cs="仿宋"/>
          <w:color w:val="auto"/>
          <w:sz w:val="30"/>
          <w:szCs w:val="30"/>
          <w:u w:val="none"/>
          <w:lang w:val="en-US" w:eastAsia="zh-CN"/>
        </w:rPr>
        <w:t>项目。</w:t>
      </w:r>
    </w:p>
    <w:tbl>
      <w:tblPr>
        <w:tblStyle w:val="13"/>
        <w:tblW w:w="10170" w:type="dxa"/>
        <w:jc w:val="center"/>
        <w:tblLayout w:type="fixed"/>
        <w:tblCellMar>
          <w:top w:w="0" w:type="dxa"/>
          <w:left w:w="108" w:type="dxa"/>
          <w:bottom w:w="0" w:type="dxa"/>
          <w:right w:w="108" w:type="dxa"/>
        </w:tblCellMar>
      </w:tblPr>
      <w:tblGrid>
        <w:gridCol w:w="696"/>
        <w:gridCol w:w="1561"/>
        <w:gridCol w:w="2059"/>
        <w:gridCol w:w="3241"/>
        <w:gridCol w:w="1530"/>
        <w:gridCol w:w="1083"/>
      </w:tblGrid>
      <w:tr w14:paraId="11948425">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0D91B7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561" w:type="dxa"/>
            <w:tcBorders>
              <w:top w:val="single" w:color="000000" w:sz="4" w:space="0"/>
              <w:left w:val="single" w:color="000000" w:sz="4" w:space="0"/>
              <w:bottom w:val="single" w:color="000000" w:sz="4" w:space="0"/>
              <w:right w:val="single" w:color="000000" w:sz="4" w:space="0"/>
            </w:tcBorders>
            <w:noWrap/>
            <w:vAlign w:val="center"/>
          </w:tcPr>
          <w:p w14:paraId="1A85F7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059" w:type="dxa"/>
            <w:tcBorders>
              <w:top w:val="single" w:color="000000" w:sz="4" w:space="0"/>
              <w:left w:val="single" w:color="000000" w:sz="4" w:space="0"/>
              <w:bottom w:val="single" w:color="000000" w:sz="4" w:space="0"/>
              <w:right w:val="single" w:color="000000" w:sz="4" w:space="0"/>
            </w:tcBorders>
            <w:noWrap/>
            <w:vAlign w:val="center"/>
          </w:tcPr>
          <w:p w14:paraId="3476A06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内容</w:t>
            </w:r>
          </w:p>
        </w:tc>
        <w:tc>
          <w:tcPr>
            <w:tcW w:w="3241" w:type="dxa"/>
            <w:tcBorders>
              <w:top w:val="single" w:color="000000" w:sz="4" w:space="0"/>
              <w:left w:val="single" w:color="000000" w:sz="4" w:space="0"/>
              <w:bottom w:val="single" w:color="000000" w:sz="4" w:space="0"/>
              <w:right w:val="single" w:color="000000" w:sz="4" w:space="0"/>
            </w:tcBorders>
            <w:noWrap/>
            <w:vAlign w:val="center"/>
          </w:tcPr>
          <w:p w14:paraId="006CDB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sz w:val="24"/>
                <w:szCs w:val="24"/>
                <w:highlight w:val="none"/>
                <w:u w:val="none"/>
                <w:lang w:val="en-US" w:eastAsia="zh-CN"/>
              </w:rPr>
              <w:t>工作量</w:t>
            </w:r>
          </w:p>
        </w:tc>
        <w:tc>
          <w:tcPr>
            <w:tcW w:w="1530" w:type="dxa"/>
            <w:tcBorders>
              <w:top w:val="single" w:color="000000" w:sz="4" w:space="0"/>
              <w:left w:val="single" w:color="000000" w:sz="4" w:space="0"/>
              <w:bottom w:val="single" w:color="000000" w:sz="4" w:space="0"/>
              <w:right w:val="single" w:color="000000" w:sz="4" w:space="0"/>
            </w:tcBorders>
            <w:noWrap/>
            <w:vAlign w:val="center"/>
          </w:tcPr>
          <w:p w14:paraId="7CFD7E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技术要求</w:t>
            </w:r>
          </w:p>
        </w:tc>
        <w:tc>
          <w:tcPr>
            <w:tcW w:w="1083" w:type="dxa"/>
            <w:tcBorders>
              <w:top w:val="single" w:color="000000" w:sz="4" w:space="0"/>
              <w:left w:val="single" w:color="000000" w:sz="4" w:space="0"/>
              <w:bottom w:val="single" w:color="000000" w:sz="4" w:space="0"/>
              <w:right w:val="single" w:color="000000" w:sz="4" w:space="0"/>
            </w:tcBorders>
            <w:noWrap/>
            <w:vAlign w:val="center"/>
          </w:tcPr>
          <w:p w14:paraId="6E2D0A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p w14:paraId="1B47DD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w:t>
            </w:r>
          </w:p>
        </w:tc>
      </w:tr>
      <w:tr w14:paraId="5E9A8228">
        <w:tblPrEx>
          <w:tblCellMar>
            <w:top w:w="0" w:type="dxa"/>
            <w:left w:w="108" w:type="dxa"/>
            <w:bottom w:w="0" w:type="dxa"/>
            <w:right w:w="108" w:type="dxa"/>
          </w:tblCellMar>
        </w:tblPrEx>
        <w:trPr>
          <w:trHeight w:val="120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FE059E8">
            <w:pPr>
              <w:keepNext w:val="0"/>
              <w:keepLines w:val="0"/>
              <w:widowControl/>
              <w:suppressLineNumbers w:val="0"/>
              <w:jc w:val="center"/>
              <w:textAlignment w:val="center"/>
              <w:rPr>
                <w:rFonts w:hint="default" w:ascii="仿宋" w:hAnsi="仿宋" w:eastAsia="仿宋" w:cs="仿宋"/>
                <w:i w:val="0"/>
                <w:iCs w:val="0"/>
                <w:strike w:val="0"/>
                <w:dstrike w:val="0"/>
                <w:color w:val="000000"/>
                <w:kern w:val="0"/>
                <w:sz w:val="24"/>
                <w:szCs w:val="24"/>
                <w:u w:val="none"/>
                <w:lang w:val="en-US" w:eastAsia="zh-CN" w:bidi="ar"/>
              </w:rPr>
            </w:pPr>
            <w:r>
              <w:rPr>
                <w:rFonts w:hint="eastAsia" w:ascii="仿宋" w:hAnsi="仿宋" w:eastAsia="仿宋" w:cs="仿宋"/>
                <w:i w:val="0"/>
                <w:iCs w:val="0"/>
                <w:strike w:val="0"/>
                <w:dstrike w:val="0"/>
                <w:color w:val="000000"/>
                <w:kern w:val="0"/>
                <w:sz w:val="24"/>
                <w:szCs w:val="24"/>
                <w:u w:val="none"/>
                <w:lang w:val="en-US" w:eastAsia="zh-CN" w:bidi="ar"/>
              </w:rPr>
              <w:t>1</w:t>
            </w:r>
          </w:p>
        </w:tc>
        <w:tc>
          <w:tcPr>
            <w:tcW w:w="1561" w:type="dxa"/>
            <w:tcBorders>
              <w:top w:val="single" w:color="000000" w:sz="4" w:space="0"/>
              <w:left w:val="single" w:color="000000" w:sz="4" w:space="0"/>
              <w:bottom w:val="single" w:color="000000" w:sz="4" w:space="0"/>
              <w:right w:val="single" w:color="000000" w:sz="4" w:space="0"/>
            </w:tcBorders>
            <w:noWrap w:val="0"/>
            <w:vAlign w:val="center"/>
          </w:tcPr>
          <w:p w14:paraId="4A6500EB">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eastAsia="zh-CN"/>
              </w:rPr>
            </w:pPr>
          </w:p>
        </w:tc>
        <w:tc>
          <w:tcPr>
            <w:tcW w:w="2059" w:type="dxa"/>
            <w:tcBorders>
              <w:top w:val="single" w:color="000000" w:sz="4" w:space="0"/>
              <w:left w:val="single" w:color="000000" w:sz="4" w:space="0"/>
              <w:bottom w:val="single" w:color="000000" w:sz="4" w:space="0"/>
              <w:right w:val="single" w:color="000000" w:sz="4" w:space="0"/>
            </w:tcBorders>
            <w:noWrap w:val="0"/>
            <w:vAlign w:val="center"/>
          </w:tcPr>
          <w:p w14:paraId="363A0351">
            <w:pPr>
              <w:keepNext w:val="0"/>
              <w:keepLines w:val="0"/>
              <w:widowControl/>
              <w:suppressLineNumbers w:val="0"/>
              <w:jc w:val="center"/>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3241" w:type="dxa"/>
            <w:tcBorders>
              <w:top w:val="single" w:color="000000" w:sz="4" w:space="0"/>
              <w:left w:val="single" w:color="000000" w:sz="4" w:space="0"/>
              <w:bottom w:val="single" w:color="000000" w:sz="4" w:space="0"/>
              <w:right w:val="single" w:color="000000" w:sz="4" w:space="0"/>
            </w:tcBorders>
            <w:noWrap w:val="0"/>
            <w:vAlign w:val="center"/>
          </w:tcPr>
          <w:p w14:paraId="2717A67C">
            <w:pPr>
              <w:keepNext w:val="0"/>
              <w:keepLines w:val="0"/>
              <w:widowControl/>
              <w:suppressLineNumbers w:val="0"/>
              <w:jc w:val="left"/>
              <w:textAlignment w:val="center"/>
              <w:rPr>
                <w:rFonts w:hint="eastAsia" w:ascii="仿宋" w:hAnsi="仿宋" w:eastAsia="仿宋" w:cs="仿宋"/>
                <w:i w:val="0"/>
                <w:iCs w:val="0"/>
                <w:strike w:val="0"/>
                <w:dstrike w:val="0"/>
                <w:color w:val="000000"/>
                <w:sz w:val="24"/>
                <w:szCs w:val="24"/>
                <w:highlight w:val="none"/>
                <w:u w:val="none"/>
                <w:lang w:val="en-US" w:eastAsia="zh-CN"/>
              </w:rPr>
            </w:pP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12A651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sz w:val="24"/>
                <w:szCs w:val="24"/>
                <w:highlight w:val="none"/>
                <w:u w:val="none"/>
                <w:lang w:val="en-US" w:eastAsia="zh-CN"/>
              </w:rPr>
            </w:pPr>
          </w:p>
        </w:tc>
        <w:tc>
          <w:tcPr>
            <w:tcW w:w="1083" w:type="dxa"/>
            <w:tcBorders>
              <w:top w:val="single" w:color="000000" w:sz="4" w:space="0"/>
              <w:left w:val="single" w:color="000000" w:sz="4" w:space="0"/>
              <w:bottom w:val="single" w:color="000000" w:sz="4" w:space="0"/>
              <w:right w:val="single" w:color="000000" w:sz="4" w:space="0"/>
            </w:tcBorders>
            <w:noWrap w:val="0"/>
            <w:vAlign w:val="center"/>
          </w:tcPr>
          <w:p w14:paraId="759FA8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3EB9A604">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highlight w:val="none"/>
          <w:lang w:eastAsia="zh-CN"/>
        </w:rPr>
        <w:t>总金额</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元，税率为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相关要求：</w:t>
      </w:r>
    </w:p>
    <w:p w14:paraId="05375FE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完成且验收合格后，服务方出具经双方确认的校正结果书面报告及等额、合法、有效的增值税专用发票，采购人自收到准确报告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须继续为保持CEMS系统正常运行提供相关的技术指导或服务工作一年。履约保证金（合同价的5%）须于合同签订前汇至采购人指定账户；待一年技术指导及服务期满，且服务方无违约行为、经采购人确认无误后无息退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请自接到采购人二次报价通知后30分钟内将二次报价一览表盖章后的电子版发送至邮箱dzw@sxszsny.com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44A535EE">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19"/>
    <w:bookmarkEnd w:id="20"/>
    <w:p w14:paraId="6004A5C2">
      <w:pPr>
        <w:jc w:val="left"/>
        <w:outlineLvl w:val="0"/>
        <w:rPr>
          <w:rStyle w:val="21"/>
          <w:rFonts w:hint="eastAsia" w:ascii="仿宋" w:hAnsi="仿宋" w:eastAsia="仿宋" w:cs="仿宋"/>
          <w:sz w:val="30"/>
        </w:rPr>
      </w:pPr>
      <w:bookmarkStart w:id="21" w:name="_Toc20347"/>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21"/>
    </w:p>
    <w:p w14:paraId="6DD8282D">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1#、2#、3#CEMS水校准项目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0861ED"/>
    <w:rsid w:val="0029396E"/>
    <w:rsid w:val="003A657B"/>
    <w:rsid w:val="00517D5D"/>
    <w:rsid w:val="005926A3"/>
    <w:rsid w:val="008746A5"/>
    <w:rsid w:val="00B574EC"/>
    <w:rsid w:val="01D22213"/>
    <w:rsid w:val="027619AC"/>
    <w:rsid w:val="02834D04"/>
    <w:rsid w:val="031428FF"/>
    <w:rsid w:val="038D5656"/>
    <w:rsid w:val="03F95A31"/>
    <w:rsid w:val="04531E45"/>
    <w:rsid w:val="04605697"/>
    <w:rsid w:val="04FD1ABF"/>
    <w:rsid w:val="056A79D6"/>
    <w:rsid w:val="05D22118"/>
    <w:rsid w:val="05D355DF"/>
    <w:rsid w:val="06057AB3"/>
    <w:rsid w:val="062B00FD"/>
    <w:rsid w:val="067A3460"/>
    <w:rsid w:val="076328DA"/>
    <w:rsid w:val="07A76692"/>
    <w:rsid w:val="08186607"/>
    <w:rsid w:val="081D4AEB"/>
    <w:rsid w:val="083A3947"/>
    <w:rsid w:val="08F93082"/>
    <w:rsid w:val="093F2ABC"/>
    <w:rsid w:val="097479E0"/>
    <w:rsid w:val="09EF44EC"/>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4715E69"/>
    <w:rsid w:val="15061C4B"/>
    <w:rsid w:val="15341747"/>
    <w:rsid w:val="164F6705"/>
    <w:rsid w:val="16646293"/>
    <w:rsid w:val="16A83419"/>
    <w:rsid w:val="16FE5921"/>
    <w:rsid w:val="17074A52"/>
    <w:rsid w:val="17B042A1"/>
    <w:rsid w:val="18987177"/>
    <w:rsid w:val="1906629D"/>
    <w:rsid w:val="190D0CE8"/>
    <w:rsid w:val="1A2B7D96"/>
    <w:rsid w:val="1A62541A"/>
    <w:rsid w:val="1BD33B78"/>
    <w:rsid w:val="1BE0140E"/>
    <w:rsid w:val="1BEC2FB3"/>
    <w:rsid w:val="1CE262BC"/>
    <w:rsid w:val="1CF3778C"/>
    <w:rsid w:val="1D6D770B"/>
    <w:rsid w:val="1D7A61FD"/>
    <w:rsid w:val="1D94296D"/>
    <w:rsid w:val="1DF976C9"/>
    <w:rsid w:val="1E191157"/>
    <w:rsid w:val="1E1A21EF"/>
    <w:rsid w:val="203B090D"/>
    <w:rsid w:val="21135480"/>
    <w:rsid w:val="211D7593"/>
    <w:rsid w:val="212C3971"/>
    <w:rsid w:val="214D7086"/>
    <w:rsid w:val="21BA7E4E"/>
    <w:rsid w:val="22DF5956"/>
    <w:rsid w:val="22ED7F5E"/>
    <w:rsid w:val="23AD6C0F"/>
    <w:rsid w:val="23D12305"/>
    <w:rsid w:val="24130D0C"/>
    <w:rsid w:val="259E2C64"/>
    <w:rsid w:val="26F76768"/>
    <w:rsid w:val="27AC61A6"/>
    <w:rsid w:val="27FE02E6"/>
    <w:rsid w:val="28C57566"/>
    <w:rsid w:val="29084622"/>
    <w:rsid w:val="29F704EF"/>
    <w:rsid w:val="2A0049E3"/>
    <w:rsid w:val="2ABF607F"/>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94025"/>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DE03BA2"/>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5E33F44"/>
    <w:rsid w:val="469F7AF8"/>
    <w:rsid w:val="475812CD"/>
    <w:rsid w:val="475D1115"/>
    <w:rsid w:val="478F3581"/>
    <w:rsid w:val="47B96D86"/>
    <w:rsid w:val="47D615F1"/>
    <w:rsid w:val="47D93555"/>
    <w:rsid w:val="48034DA7"/>
    <w:rsid w:val="486F4BB5"/>
    <w:rsid w:val="48A60514"/>
    <w:rsid w:val="48DA44A2"/>
    <w:rsid w:val="48E14418"/>
    <w:rsid w:val="490432DC"/>
    <w:rsid w:val="491635D4"/>
    <w:rsid w:val="49E7480F"/>
    <w:rsid w:val="4AE97537"/>
    <w:rsid w:val="4AF173EE"/>
    <w:rsid w:val="4B0D618C"/>
    <w:rsid w:val="4C2F1B9C"/>
    <w:rsid w:val="4C870D35"/>
    <w:rsid w:val="4D2832EB"/>
    <w:rsid w:val="4DB81983"/>
    <w:rsid w:val="4DF21BF8"/>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C3293C"/>
    <w:rsid w:val="5A1C766A"/>
    <w:rsid w:val="5B3710B2"/>
    <w:rsid w:val="5B5E63DA"/>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6015CA5"/>
    <w:rsid w:val="779817DA"/>
    <w:rsid w:val="77D476E8"/>
    <w:rsid w:val="782A7918"/>
    <w:rsid w:val="79715756"/>
    <w:rsid w:val="7A500C84"/>
    <w:rsid w:val="7A640EC3"/>
    <w:rsid w:val="7A7B08FF"/>
    <w:rsid w:val="7AE21E9E"/>
    <w:rsid w:val="7B027F4F"/>
    <w:rsid w:val="7B09318D"/>
    <w:rsid w:val="7B6004E6"/>
    <w:rsid w:val="7BE14791"/>
    <w:rsid w:val="7C4C470C"/>
    <w:rsid w:val="7C920257"/>
    <w:rsid w:val="7CD03426"/>
    <w:rsid w:val="7DDA7768"/>
    <w:rsid w:val="7DFA5FDE"/>
    <w:rsid w:val="7E0B3994"/>
    <w:rsid w:val="7E0E4D50"/>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4"/>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9064</Words>
  <Characters>9512</Characters>
  <Lines>53</Lines>
  <Paragraphs>15</Paragraphs>
  <TotalTime>0</TotalTime>
  <ScaleCrop>false</ScaleCrop>
  <LinksUpToDate>false</LinksUpToDate>
  <CharactersWithSpaces>10456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2026-07-03T08:35:06Z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8365725BAFB046738F2351FD456D44F9_13</vt:lpwstr>
  </property>
  <property fmtid="{D5CDD505-2E9C-101B-9397-08002B2CF9AE}" pid="4" name="KSOTemplateDocerSaveRecord">
    <vt:lpwstr>eyJoZGlkIjoiZDU5ZmYzODUyNjg1MTM3NmE2OTBjZTA2MmE1ZDJlMDUiLCJ1c2VySWQiOiI0MTkyNjk4ODkifQ==</vt:lpwstr>
  </property>
</Properties>
</file>