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16818"/>
      <w:r>
        <w:rPr>
          <w:rFonts w:hint="eastAsia" w:ascii="仿宋_GB2312" w:hAnsi="宋体" w:eastAsia="仿宋_GB2312"/>
          <w:b/>
          <w:sz w:val="52"/>
          <w:szCs w:val="52"/>
          <w:lang w:eastAsia="zh-CN"/>
        </w:rPr>
        <w:t>绍兴市再生能源发展有限公司</w:t>
      </w:r>
      <w:bookmarkEnd w:id="0"/>
    </w:p>
    <w:p w14:paraId="4EEA6687">
      <w:pPr>
        <w:pStyle w:val="11"/>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三台垃圾吊年度维保消缺及技术支持项目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SX-ZH-WB-</w:t>
      </w:r>
      <w:bookmarkEnd w:id="1"/>
      <w:r>
        <w:rPr>
          <w:rFonts w:hint="eastAsia" w:ascii="仿宋" w:hAnsi="仿宋" w:eastAsia="仿宋" w:cs="仿宋"/>
          <w:sz w:val="32"/>
          <w:szCs w:val="32"/>
          <w:highlight w:val="none"/>
          <w:u w:val="single"/>
          <w:lang w:val="en-US" w:eastAsia="zh-CN"/>
        </w:rPr>
        <w:t xml:space="preserve">2606008 </w:t>
      </w:r>
      <w:r>
        <w:rPr>
          <w:rFonts w:hint="eastAsia" w:ascii="仿宋" w:hAnsi="仿宋" w:eastAsia="仿宋" w:cs="仿宋"/>
          <w:sz w:val="32"/>
          <w:szCs w:val="32"/>
          <w:u w:val="single"/>
          <w:lang w:val="en-US" w:eastAsia="zh-CN"/>
        </w:rPr>
        <w:t xml:space="preserve">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三台垃圾吊年度维保消缺及技术支持项目</w:t>
      </w:r>
    </w:p>
    <w:p w14:paraId="619BC30A">
      <w:pPr>
        <w:rPr>
          <w:rFonts w:hint="eastAsia" w:ascii="仿宋" w:hAnsi="仿宋" w:eastAsia="仿宋" w:cs="仿宋"/>
          <w:sz w:val="84"/>
        </w:rPr>
      </w:pPr>
    </w:p>
    <w:p w14:paraId="379DFA08">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w:t>
      </w:r>
      <w:r>
        <w:rPr>
          <w:rFonts w:hint="eastAsia" w:ascii="仿宋" w:hAnsi="仿宋" w:eastAsia="仿宋" w:cs="仿宋"/>
          <w:sz w:val="32"/>
          <w:szCs w:val="32"/>
          <w:highlight w:val="none"/>
          <w:lang w:eastAsia="zh-CN"/>
        </w:rPr>
        <w:t>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highlight w:val="none"/>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486168C0">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_Toc16818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_Toc16818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92DC4BC">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_Toc8303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_Toc8303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4210891">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_Toc14760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第二部分   采购须知</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_Toc14760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7</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3D728F32">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_Toc1501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_Toc1501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14848B5">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_Toc28946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 xml:space="preserve">第四部分 </w:t>
      </w:r>
      <w:r>
        <w:rPr>
          <w:rFonts w:hint="eastAsia" w:eastAsia="仿宋" w:cs="Times New Roman"/>
          <w:b w:val="0"/>
          <w:bCs/>
          <w:sz w:val="32"/>
          <w:szCs w:val="32"/>
          <w:lang w:val="en-US" w:eastAsia="zh-CN"/>
        </w:rPr>
        <w:t xml:space="preserve">  </w:t>
      </w:r>
      <w:r>
        <w:rPr>
          <w:rFonts w:hint="eastAsia" w:ascii="Times New Roman" w:hAnsi="Times New Roman" w:eastAsia="仿宋" w:cs="Times New Roman"/>
          <w:b w:val="0"/>
          <w:bCs/>
          <w:sz w:val="32"/>
          <w:szCs w:val="32"/>
          <w:lang w:val="en-US" w:eastAsia="zh-CN"/>
        </w:rPr>
        <w:t>合同主要条款</w:t>
      </w:r>
      <w:r>
        <w:rPr>
          <w:rFonts w:hint="eastAsia" w:eastAsia="仿宋" w:cs="Times New Roman"/>
          <w:b w:val="0"/>
          <w:bCs/>
          <w:sz w:val="32"/>
          <w:szCs w:val="32"/>
          <w:lang w:val="en-US" w:eastAsia="zh-CN"/>
        </w:rPr>
        <w:t>（供参考）</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_Toc28946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772432F2">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_Toc14763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_Toc14763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16</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84840C8">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_Toc5159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eastAsia="zh-CN"/>
        </w:rPr>
        <w:t>五</w:t>
      </w:r>
      <w:r>
        <w:rPr>
          <w:rFonts w:hint="eastAsia" w:ascii="Times New Roman" w:hAnsi="Times New Roman" w:eastAsia="仿宋" w:cs="Times New Roman"/>
          <w:b w:val="0"/>
          <w:bCs/>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_Toc5159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19</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8295AB1">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_Toc12044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_Toc12044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D6DE66D">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_Toc18885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二</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_Toc18885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66B6277">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_Toc14352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三</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_Toc14352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24</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D38388A">
      <w:pPr>
        <w:pStyle w:val="9"/>
        <w:tabs>
          <w:tab w:val="right" w:leader="dot" w:pos="9072"/>
        </w:tabs>
        <w:rPr>
          <w:rFonts w:hint="default"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_Toc28603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四</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_Toc28603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8303"/>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三台垃圾吊年度维保消缺及技术支持项目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w:t>
      </w:r>
      <w:r>
        <w:rPr>
          <w:rFonts w:hint="eastAsia" w:ascii="仿宋" w:hAnsi="仿宋" w:eastAsia="仿宋" w:cs="仿宋"/>
          <w:sz w:val="30"/>
          <w:szCs w:val="30"/>
        </w:rPr>
        <w:t>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SX-ZH-WB-2606008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166" w:type="pct"/>
        <w:jc w:val="center"/>
        <w:tblLayout w:type="fixed"/>
        <w:tblCellMar>
          <w:top w:w="0" w:type="dxa"/>
          <w:left w:w="108" w:type="dxa"/>
          <w:bottom w:w="0" w:type="dxa"/>
          <w:right w:w="108" w:type="dxa"/>
        </w:tblCellMar>
      </w:tblPr>
      <w:tblGrid>
        <w:gridCol w:w="815"/>
        <w:gridCol w:w="2035"/>
        <w:gridCol w:w="4395"/>
        <w:gridCol w:w="2352"/>
      </w:tblGrid>
      <w:tr w14:paraId="0562B3A3">
        <w:tblPrEx>
          <w:tblCellMar>
            <w:top w:w="0" w:type="dxa"/>
            <w:left w:w="108" w:type="dxa"/>
            <w:bottom w:w="0" w:type="dxa"/>
            <w:right w:w="108" w:type="dxa"/>
          </w:tblCellMar>
        </w:tblPrEx>
        <w:trPr>
          <w:trHeight w:val="467"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395"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项目内容</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EC494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r>
      <w:tr w14:paraId="0D170546">
        <w:tblPrEx>
          <w:tblCellMar>
            <w:top w:w="0" w:type="dxa"/>
            <w:left w:w="108" w:type="dxa"/>
            <w:bottom w:w="0" w:type="dxa"/>
            <w:right w:w="108" w:type="dxa"/>
          </w:tblCellMar>
        </w:tblPrEx>
        <w:trPr>
          <w:trHeight w:val="1777"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3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三台垃圾吊年度维保消缺及技术支持</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三台垃圾吊按周期全面维护检查保养消缺(包含机械部分和电气部分),对一些高强度部件及电气设备进行必要的预防性维护试验，查找现场隐患，对现场易损易耗部件周期进行预估，提出备件最小库存清单</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1D967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详见询价文件</w:t>
            </w:r>
          </w:p>
        </w:tc>
      </w:tr>
    </w:tbl>
    <w:p w14:paraId="51AFD6D3">
      <w:pPr>
        <w:rPr>
          <w:rFonts w:hint="eastAsia"/>
          <w:highlight w:val="none"/>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3.技术要求及工作量：</w:t>
      </w:r>
    </w:p>
    <w:p w14:paraId="40C5F0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技术要求</w:t>
      </w:r>
      <w:r>
        <w:rPr>
          <w:rFonts w:hint="eastAsia" w:ascii="仿宋" w:hAnsi="仿宋" w:eastAsia="仿宋" w:cs="仿宋"/>
          <w:sz w:val="30"/>
          <w:szCs w:val="30"/>
          <w:lang w:val="en-US" w:eastAsia="zh-CN"/>
        </w:rPr>
        <w:t>：</w:t>
      </w:r>
    </w:p>
    <w:p w14:paraId="25F9BA9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维保合同不得分包，现场作业人员须提供在职证明和社保证明，以及人员意外伤害保险证明。垃圾吊维护保养服务完成，需提供专业的报告与设备改善建议。合同期内提供1次专业技术培训、合同期内免费提供专业仪器轨道测量服务，并出具轨道三维立体坐标报告，免费提供数字化维护网络平台权限给甲方，随时可以查阅垃圾吊维修相关数据。在技术支持周期内对垃圾吊产生故障后的技术问题提供远程/现场技术服务，远程技术服务响应时间为实时，现场技术服务不大于24小时。责成维保单位提供的电气与机械配件，需有科尼原厂证明，以确保配件质量安全可靠</w:t>
      </w:r>
    </w:p>
    <w:p w14:paraId="25429000">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工作量</w:t>
      </w:r>
      <w:r>
        <w:rPr>
          <w:rFonts w:hint="eastAsia" w:ascii="仿宋" w:hAnsi="仿宋" w:eastAsia="仿宋" w:cs="仿宋"/>
          <w:sz w:val="30"/>
          <w:szCs w:val="30"/>
          <w:lang w:val="en-US" w:eastAsia="zh-CN"/>
        </w:rPr>
        <w:t>：</w:t>
      </w:r>
    </w:p>
    <w:p w14:paraId="44C671E7">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三台垃圾吊的维保消缺与技术服务。</w:t>
      </w:r>
    </w:p>
    <w:p w14:paraId="59E6A5FC">
      <w:pPr>
        <w:pStyle w:val="12"/>
        <w:snapToGrid/>
        <w:spacing w:line="360" w:lineRule="auto"/>
        <w:rPr>
          <w:rFonts w:hint="eastAsia" w:ascii="仿宋" w:hAnsi="仿宋" w:eastAsia="仿宋" w:cs="仿宋"/>
          <w:sz w:val="30"/>
          <w:szCs w:val="30"/>
          <w:u w:val="single"/>
          <w:lang w:val="en-US" w:eastAsia="zh-CN"/>
        </w:rPr>
      </w:pPr>
      <w:r>
        <w:rPr>
          <w:rFonts w:hint="eastAsia" w:ascii="仿宋" w:hAnsi="仿宋" w:eastAsia="仿宋" w:cs="仿宋"/>
          <w:sz w:val="30"/>
          <w:szCs w:val="30"/>
          <w:u w:val="single"/>
          <w:lang w:val="en-US" w:eastAsia="zh-CN"/>
        </w:rPr>
        <w:t>设备型号：</w:t>
      </w:r>
    </w:p>
    <w:p w14:paraId="6B857365">
      <w:pPr>
        <w:pStyle w:val="12"/>
        <w:snapToGrid/>
        <w:spacing w:line="360" w:lineRule="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科尼SHAOXING WTE 20T CRANE 1 SNO360-1-ELEC</w:t>
      </w:r>
    </w:p>
    <w:p w14:paraId="10825723">
      <w:pPr>
        <w:pStyle w:val="12"/>
        <w:snapToGrid/>
        <w:spacing w:line="360" w:lineRule="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科尼SHAOXING WTE 20T CRANE 2 SNO360-1-ELEC</w:t>
      </w:r>
    </w:p>
    <w:p w14:paraId="6267D8FB">
      <w:pPr>
        <w:pStyle w:val="12"/>
        <w:snapToGrid/>
        <w:spacing w:line="360" w:lineRule="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科尼SHAOXING WTE 20T CRANE 3 SNO360-1-ELEC</w:t>
      </w:r>
    </w:p>
    <w:p w14:paraId="65E29F9F">
      <w:pPr>
        <w:pStyle w:val="12"/>
        <w:numPr>
          <w:ilvl w:val="0"/>
          <w:numId w:val="0"/>
        </w:numPr>
        <w:snapToGrid/>
        <w:spacing w:line="360" w:lineRule="auto"/>
        <w:ind w:firstLine="600" w:firstLineChars="200"/>
        <w:rPr>
          <w:rFonts w:hint="default"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4.</w:t>
      </w:r>
      <w:r>
        <w:rPr>
          <w:rFonts w:hint="eastAsia" w:ascii="仿宋" w:hAnsi="仿宋" w:eastAsia="仿宋" w:cs="仿宋"/>
          <w:sz w:val="30"/>
          <w:szCs w:val="30"/>
          <w:lang w:val="en-US" w:eastAsia="zh-CN"/>
        </w:rPr>
        <w:t>安全责任与保险：进场人员必须购买保额不低于100万元的意外伤害保险，并提供保单复印件。维保单位需自行承担施工期间发生的一切安全事故责任与相关费用，采购人不承担任何连带责任。</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人民币38.9</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二、报价人要求。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1ADFA4F5">
      <w:pPr>
        <w:pStyle w:val="12"/>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w:t>
      </w:r>
      <w:bookmarkStart w:id="7" w:name="OLE_LINK2"/>
      <w:r>
        <w:rPr>
          <w:rFonts w:hint="eastAsia" w:ascii="仿宋" w:hAnsi="仿宋" w:eastAsia="仿宋" w:cs="仿宋"/>
          <w:sz w:val="30"/>
          <w:szCs w:val="30"/>
          <w:highlight w:val="none"/>
          <w:lang w:val="en-US" w:eastAsia="zh-CN"/>
        </w:rPr>
        <w:t>报价人</w:t>
      </w:r>
      <w:bookmarkEnd w:id="7"/>
      <w:r>
        <w:rPr>
          <w:rFonts w:hint="eastAsia" w:ascii="仿宋" w:hAnsi="仿宋" w:eastAsia="仿宋" w:cs="仿宋"/>
          <w:sz w:val="30"/>
          <w:szCs w:val="30"/>
          <w:highlight w:val="none"/>
          <w:lang w:val="en-US" w:eastAsia="zh-CN"/>
        </w:rPr>
        <w:t>须具有有效期内的中华人民共和国特种设备生产许可证--起重机械制造（含安装、修理、改造）B级及以上资质，且有类似维保或项目业绩。管理人员需有3年以上起重机械管理经验；具有科尼垃圾吊PLC维修调试工程师。作业人员需具有低压电工作业证、高处作业证。</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8" w:name="_Toc530583923"/>
      <w:bookmarkStart w:id="9"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7月10</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本招标文件内有资质及业绩要求，报价人需另行分装报价资格一览表，封装方式需与报价文件相同，且需在快递包装上醒目注明报价资格表、项目名称、询价编号，报价人联系人、联系人电话。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9</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7月3</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10" w:name="_Toc530583879"/>
      <w:bookmarkStart w:id="11" w:name="_Toc530583922"/>
      <w:bookmarkStart w:id="12" w:name="_Toc14760"/>
      <w:r>
        <w:rPr>
          <w:rFonts w:hint="eastAsia" w:ascii="仿宋" w:hAnsi="仿宋" w:eastAsia="仿宋" w:cs="仿宋"/>
          <w:b/>
          <w:snapToGrid w:val="0"/>
          <w:color w:val="000000"/>
          <w:kern w:val="44"/>
          <w:sz w:val="44"/>
          <w:szCs w:val="44"/>
          <w:lang w:val="en-US" w:eastAsia="zh-CN" w:bidi="ar-SA"/>
        </w:rPr>
        <w:t>第二部分   采购须知</w:t>
      </w:r>
      <w:bookmarkEnd w:id="10"/>
      <w:bookmarkEnd w:id="11"/>
      <w:bookmarkEnd w:id="12"/>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w:t>
      </w:r>
      <w:r>
        <w:rPr>
          <w:rFonts w:hint="eastAsia" w:ascii="仿宋_GB2312" w:hAnsi="宋体" w:eastAsia="仿宋_GB2312"/>
          <w:sz w:val="30"/>
          <w:szCs w:val="30"/>
          <w:highlight w:val="none"/>
          <w:lang w:val="en-US" w:eastAsia="zh-CN"/>
        </w:rPr>
        <w:t>“服务方”</w:t>
      </w:r>
      <w:r>
        <w:rPr>
          <w:rFonts w:hint="eastAsia" w:ascii="仿宋_GB2312" w:hAnsi="宋体" w:eastAsia="仿宋_GB2312"/>
          <w:sz w:val="30"/>
          <w:szCs w:val="30"/>
          <w:lang w:val="en-US" w:eastAsia="zh-CN"/>
        </w:rPr>
        <w:t>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（三）凡涉及本次询价的解释权均属于</w:t>
      </w:r>
      <w:r>
        <w:rPr>
          <w:rFonts w:hint="eastAsia" w:ascii="仿宋" w:hAnsi="仿宋" w:eastAsia="仿宋" w:cs="仿宋"/>
          <w:sz w:val="30"/>
          <w:szCs w:val="30"/>
          <w:highlight w:val="none"/>
          <w:lang w:eastAsia="zh-CN"/>
        </w:rPr>
        <w:t>绍兴市再生能源发展有限公司</w:t>
      </w:r>
      <w:r>
        <w:rPr>
          <w:rFonts w:hint="eastAsia" w:ascii="仿宋" w:hAnsi="仿宋" w:eastAsia="仿宋" w:cs="仿宋"/>
          <w:sz w:val="30"/>
          <w:szCs w:val="30"/>
          <w:highlight w:val="none"/>
        </w:rPr>
        <w:t>。</w:t>
      </w:r>
    </w:p>
    <w:p w14:paraId="6BD434A3">
      <w:pPr>
        <w:pStyle w:val="2"/>
        <w:numPr>
          <w:ilvl w:val="0"/>
          <w:numId w:val="0"/>
        </w:numPr>
        <w:jc w:val="center"/>
        <w:outlineLvl w:val="9"/>
        <w:rPr>
          <w:rFonts w:hint="eastAsia" w:ascii="仿宋" w:hAnsi="仿宋" w:eastAsia="仿宋" w:cs="仿宋"/>
          <w:snapToGrid w:val="0"/>
          <w:sz w:val="44"/>
          <w:szCs w:val="44"/>
          <w:highlight w:val="none"/>
        </w:rPr>
      </w:pPr>
    </w:p>
    <w:p w14:paraId="5108F7AF">
      <w:pPr>
        <w:rPr>
          <w:rFonts w:hint="eastAsia" w:ascii="仿宋" w:hAnsi="仿宋" w:eastAsia="仿宋" w:cs="仿宋"/>
          <w:snapToGrid w:val="0"/>
          <w:sz w:val="44"/>
          <w:szCs w:val="44"/>
          <w:highlight w:val="none"/>
        </w:rPr>
      </w:pPr>
    </w:p>
    <w:p w14:paraId="1ACF9921">
      <w:pPr>
        <w:pStyle w:val="4"/>
        <w:rPr>
          <w:rFonts w:hint="eastAsia" w:ascii="仿宋" w:hAnsi="仿宋" w:eastAsia="仿宋" w:cs="仿宋"/>
          <w:snapToGrid w:val="0"/>
          <w:sz w:val="44"/>
          <w:szCs w:val="44"/>
          <w:highlight w:val="none"/>
        </w:rPr>
      </w:pPr>
    </w:p>
    <w:p w14:paraId="5677F180">
      <w:pPr>
        <w:pStyle w:val="2"/>
        <w:numPr>
          <w:ilvl w:val="0"/>
          <w:numId w:val="0"/>
        </w:numPr>
        <w:jc w:val="both"/>
        <w:rPr>
          <w:rFonts w:hint="eastAsia" w:ascii="仿宋" w:hAnsi="仿宋" w:eastAsia="仿宋" w:cs="仿宋"/>
          <w:snapToGrid w:val="0"/>
          <w:sz w:val="44"/>
          <w:szCs w:val="44"/>
          <w:highlight w:val="none"/>
        </w:rPr>
      </w:pPr>
    </w:p>
    <w:p w14:paraId="4BFC861E">
      <w:pPr>
        <w:rPr>
          <w:rFonts w:hint="eastAsia" w:ascii="仿宋" w:hAnsi="仿宋" w:eastAsia="仿宋" w:cs="仿宋"/>
          <w:snapToGrid w:val="0"/>
          <w:sz w:val="44"/>
          <w:szCs w:val="44"/>
          <w:highlight w:val="none"/>
        </w:rPr>
      </w:pPr>
    </w:p>
    <w:p w14:paraId="694DD683">
      <w:pPr>
        <w:pStyle w:val="12"/>
        <w:rPr>
          <w:rFonts w:hint="eastAsia"/>
          <w:highlight w:val="none"/>
        </w:rPr>
      </w:pPr>
    </w:p>
    <w:p w14:paraId="0A40157F">
      <w:pPr>
        <w:pStyle w:val="12"/>
        <w:rPr>
          <w:rFonts w:hint="eastAsia"/>
          <w:highlight w:val="none"/>
        </w:rPr>
      </w:pPr>
    </w:p>
    <w:p w14:paraId="0020011C">
      <w:pPr>
        <w:pStyle w:val="12"/>
        <w:rPr>
          <w:rFonts w:hint="eastAsia"/>
          <w:highlight w:val="none"/>
        </w:rPr>
      </w:pPr>
    </w:p>
    <w:p w14:paraId="55792CFC">
      <w:pPr>
        <w:pStyle w:val="12"/>
        <w:rPr>
          <w:rFonts w:hint="eastAsia"/>
          <w:highlight w:val="none"/>
        </w:rPr>
      </w:pPr>
    </w:p>
    <w:p w14:paraId="7777F8FC">
      <w:pPr>
        <w:pStyle w:val="2"/>
        <w:numPr>
          <w:ilvl w:val="0"/>
          <w:numId w:val="0"/>
        </w:numPr>
        <w:jc w:val="center"/>
        <w:rPr>
          <w:rFonts w:hint="eastAsia" w:ascii="仿宋" w:hAnsi="仿宋" w:eastAsia="仿宋" w:cs="仿宋"/>
          <w:b w:val="0"/>
          <w:bCs/>
          <w:snapToGrid w:val="0"/>
          <w:sz w:val="44"/>
          <w:highlight w:val="none"/>
        </w:rPr>
      </w:pPr>
      <w:bookmarkStart w:id="13" w:name="_Toc1501"/>
      <w:r>
        <w:rPr>
          <w:rFonts w:hint="eastAsia" w:ascii="仿宋" w:hAnsi="仿宋" w:eastAsia="仿宋" w:cs="仿宋"/>
          <w:snapToGrid w:val="0"/>
          <w:sz w:val="44"/>
          <w:szCs w:val="44"/>
          <w:highlight w:val="none"/>
        </w:rPr>
        <w:t>第三部分   询价内容</w:t>
      </w:r>
      <w:bookmarkEnd w:id="8"/>
      <w:bookmarkEnd w:id="9"/>
      <w:bookmarkEnd w:id="13"/>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一、</w:t>
      </w:r>
      <w:r>
        <w:rPr>
          <w:rFonts w:hint="eastAsia" w:ascii="仿宋" w:hAnsi="仿宋" w:eastAsia="仿宋" w:cs="仿宋"/>
          <w:color w:val="auto"/>
          <w:kern w:val="2"/>
          <w:sz w:val="30"/>
          <w:szCs w:val="30"/>
          <w:highlight w:val="none"/>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17A0CA9B">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本项目服务期一年，服务方在服务期内向采购人提供三台垃圾吊全面维护检查保养消缺服务</w:t>
      </w:r>
      <w:r>
        <w:rPr>
          <w:rFonts w:hint="eastAsia" w:ascii="仿宋" w:hAnsi="仿宋" w:eastAsia="仿宋" w:cs="仿宋"/>
          <w:color w:val="auto"/>
          <w:kern w:val="2"/>
          <w:sz w:val="30"/>
          <w:szCs w:val="30"/>
          <w:highlight w:val="none"/>
        </w:rPr>
        <w:t>。</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每季度进行一次结算，服务方提交付款申请、维保报告（需采购人签字验收） 及等额增值税专用发票，采购人自收到准确报告和发票且核对无误后，于次二月完成款项支付，若服务方未按时提供合规发票，采购人的付款期限可相应顺延且不视为违约</w:t>
      </w:r>
      <w:r>
        <w:rPr>
          <w:rFonts w:hint="eastAsia" w:ascii="仿宋" w:hAnsi="仿宋" w:eastAsia="仿宋" w:cs="仿宋"/>
          <w:color w:val="auto"/>
          <w:kern w:val="2"/>
          <w:sz w:val="30"/>
          <w:szCs w:val="30"/>
          <w:highlight w:val="none"/>
        </w:rPr>
        <w:t>。</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highlight w:val="none"/>
          <w:lang w:val="en-US" w:eastAsia="zh-CN"/>
        </w:rPr>
        <w:t>服务方</w:t>
      </w:r>
      <w:r>
        <w:rPr>
          <w:rFonts w:hint="eastAsia" w:ascii="仿宋" w:hAnsi="仿宋" w:eastAsia="仿宋" w:cs="仿宋"/>
          <w:color w:val="auto"/>
          <w:kern w:val="2"/>
          <w:sz w:val="30"/>
          <w:szCs w:val="30"/>
        </w:rPr>
        <w:t>必须满足采购人售后服务要求。如产品使用过</w:t>
      </w:r>
      <w:r>
        <w:rPr>
          <w:rFonts w:hint="eastAsia" w:ascii="仿宋" w:hAnsi="仿宋" w:eastAsia="仿宋" w:cs="仿宋"/>
          <w:color w:val="auto"/>
          <w:kern w:val="2"/>
          <w:sz w:val="30"/>
          <w:szCs w:val="30"/>
          <w:lang w:eastAsia="zh-CN"/>
        </w:rPr>
        <w:t>程中</w:t>
      </w:r>
      <w:r>
        <w:rPr>
          <w:rFonts w:hint="eastAsia" w:ascii="仿宋" w:hAnsi="仿宋" w:eastAsia="仿宋" w:cs="仿宋"/>
          <w:color w:val="auto"/>
          <w:kern w:val="2"/>
          <w:sz w:val="30"/>
          <w:szCs w:val="30"/>
        </w:rPr>
        <w:t>发生问题，</w:t>
      </w:r>
      <w:r>
        <w:rPr>
          <w:rFonts w:hint="eastAsia" w:ascii="仿宋" w:hAnsi="仿宋" w:eastAsia="仿宋" w:cs="仿宋"/>
          <w:color w:val="auto"/>
          <w:kern w:val="2"/>
          <w:sz w:val="30"/>
          <w:szCs w:val="30"/>
          <w:highlight w:val="none"/>
          <w:lang w:val="en-US" w:eastAsia="zh-CN"/>
        </w:rPr>
        <w:t>服务方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highlight w:val="none"/>
          <w:lang w:val="en-US" w:eastAsia="zh-CN"/>
        </w:rPr>
        <w:t>服务方</w:t>
      </w:r>
      <w:r>
        <w:rPr>
          <w:rFonts w:hint="eastAsia" w:ascii="仿宋" w:hAnsi="仿宋" w:eastAsia="仿宋" w:cs="仿宋"/>
          <w:color w:val="auto"/>
          <w:kern w:val="2"/>
          <w:sz w:val="30"/>
          <w:szCs w:val="30"/>
        </w:rPr>
        <w:t>的派遣人员产生的一切费用由供应商承担。</w:t>
      </w:r>
    </w:p>
    <w:p w14:paraId="54F100F9">
      <w:pPr>
        <w:pStyle w:val="2"/>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1C6CD68D">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28946"/>
      <w:r>
        <w:rPr>
          <w:rFonts w:hint="eastAsia" w:ascii="仿宋" w:hAnsi="仿宋" w:eastAsia="仿宋" w:cs="仿宋"/>
          <w:snapToGrid w:val="0"/>
          <w:sz w:val="44"/>
          <w:szCs w:val="44"/>
          <w:lang w:val="en-US" w:eastAsia="zh-CN"/>
        </w:rPr>
        <w:t>合同主要条款</w:t>
      </w:r>
      <w:bookmarkEnd w:id="15"/>
      <w:r>
        <w:rPr>
          <w:rFonts w:hint="eastAsia" w:ascii="仿宋" w:hAnsi="仿宋" w:eastAsia="仿宋" w:cs="仿宋"/>
          <w:snapToGrid w:val="0"/>
          <w:sz w:val="44"/>
          <w:szCs w:val="44"/>
          <w:lang w:val="en-US" w:eastAsia="zh-CN"/>
        </w:rPr>
        <w:t>（供参考）</w:t>
      </w:r>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3129"/>
        <w:gridCol w:w="992"/>
        <w:gridCol w:w="3260"/>
      </w:tblGrid>
      <w:tr w14:paraId="53A04863">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项目名称</w:t>
            </w:r>
          </w:p>
        </w:tc>
        <w:tc>
          <w:tcPr>
            <w:tcW w:w="3129" w:type="dxa"/>
            <w:tcBorders>
              <w:top w:val="single" w:color="auto" w:sz="4" w:space="0"/>
              <w:left w:val="nil"/>
              <w:bottom w:val="single" w:color="auto" w:sz="4" w:space="0"/>
              <w:right w:val="single" w:color="auto" w:sz="4" w:space="0"/>
            </w:tcBorders>
            <w:noWrap w:val="0"/>
            <w:vAlign w:val="center"/>
          </w:tcPr>
          <w:p w14:paraId="49F54B8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项目内容</w:t>
            </w:r>
          </w:p>
        </w:tc>
        <w:tc>
          <w:tcPr>
            <w:tcW w:w="992" w:type="dxa"/>
            <w:tcBorders>
              <w:top w:val="single" w:color="auto" w:sz="4" w:space="0"/>
              <w:left w:val="nil"/>
              <w:bottom w:val="single" w:color="auto" w:sz="4" w:space="0"/>
              <w:right w:val="single" w:color="auto" w:sz="4" w:space="0"/>
            </w:tcBorders>
            <w:noWrap w:val="0"/>
            <w:vAlign w:val="center"/>
          </w:tcPr>
          <w:p w14:paraId="15113C0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技术要求</w:t>
            </w:r>
          </w:p>
        </w:tc>
        <w:tc>
          <w:tcPr>
            <w:tcW w:w="3260"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59BC081F">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312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3260"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r>
      <w:tr w14:paraId="51524595">
        <w:tblPrEx>
          <w:tblCellMar>
            <w:top w:w="0" w:type="dxa"/>
            <w:left w:w="108" w:type="dxa"/>
            <w:bottom w:w="0" w:type="dxa"/>
            <w:right w:w="108" w:type="dxa"/>
          </w:tblCellMar>
        </w:tblPrEx>
        <w:trPr>
          <w:trHeight w:val="836" w:hRule="atLeast"/>
          <w:jc w:val="center"/>
        </w:trPr>
        <w:tc>
          <w:tcPr>
            <w:tcW w:w="6311" w:type="dxa"/>
            <w:gridSpan w:val="4"/>
            <w:tcBorders>
              <w:top w:val="nil"/>
              <w:left w:val="single" w:color="auto" w:sz="4" w:space="0"/>
              <w:bottom w:val="single" w:color="auto" w:sz="4" w:space="0"/>
              <w:right w:val="single" w:color="auto" w:sz="4" w:space="0"/>
            </w:tcBorders>
            <w:noWrap w:val="0"/>
            <w:vAlign w:val="center"/>
          </w:tcPr>
          <w:p w14:paraId="69CD679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3088269C">
        <w:tblPrEx>
          <w:tblCellMar>
            <w:top w:w="0" w:type="dxa"/>
            <w:left w:w="108" w:type="dxa"/>
            <w:bottom w:w="0" w:type="dxa"/>
            <w:right w:w="108" w:type="dxa"/>
          </w:tblCellMar>
        </w:tblPrEx>
        <w:trPr>
          <w:trHeight w:val="716" w:hRule="atLeast"/>
          <w:jc w:val="center"/>
        </w:trPr>
        <w:tc>
          <w:tcPr>
            <w:tcW w:w="9571" w:type="dxa"/>
            <w:gridSpan w:val="5"/>
            <w:tcBorders>
              <w:top w:val="nil"/>
              <w:left w:val="single" w:color="auto" w:sz="4" w:space="0"/>
              <w:bottom w:val="single" w:color="auto" w:sz="4" w:space="0"/>
              <w:right w:val="single" w:color="auto" w:sz="4" w:space="0"/>
            </w:tcBorders>
            <w:noWrap w:val="0"/>
            <w:vAlign w:val="center"/>
          </w:tcPr>
          <w:p w14:paraId="1941C45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本项目服务</w:t>
      </w:r>
      <w:r>
        <w:rPr>
          <w:rFonts w:hint="eastAsia" w:ascii="方正仿宋_GBK" w:hAnsi="方正仿宋_GBK" w:eastAsia="方正仿宋_GBK" w:cs="方正仿宋_GBK"/>
          <w:sz w:val="28"/>
          <w:szCs w:val="28"/>
          <w:highlight w:val="none"/>
          <w:lang w:val="en-US" w:eastAsia="zh-CN"/>
        </w:rPr>
        <w:t>期一年，服务方在服务期内向采购人提供三台垃圾吊全面维护检查保养消缺服务</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2.</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第三条 技术要求</w:t>
      </w:r>
      <w:r>
        <w:rPr>
          <w:rFonts w:hint="eastAsia" w:ascii="黑体" w:hAnsi="黑体" w:eastAsia="黑体" w:cs="黑体"/>
          <w:sz w:val="28"/>
          <w:szCs w:val="28"/>
          <w:highlight w:val="none"/>
          <w:lang w:val="en-US" w:eastAsia="zh-CN"/>
        </w:rPr>
        <w:t>及工作量</w:t>
      </w:r>
    </w:p>
    <w:p w14:paraId="237C4486">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维保合同不得分包，现场作业人员须提供在职证明和社保证明，以及人员意外伤害保险证明。垃圾吊维护保养服务完成，需提供专业的报告与设备改善建议。合同期内提供1次专业技术培训、合同期内免费提供专业仪器轨道测量服务，并出具轨道三维立体坐票报告，免费提供数字化维护网络平台权限给甲方，随时可以查阅垃圾吊维修相关数据。在技术支持周期内对垃圾吊产生故障后的技术问题提供远程/现场技术服务，远程技术服务响应时间为实时，现场技术服务不大于24小时。责成维保单位提供的电气与机械配件，需有科尼原厂证明，以确保配件质量安全可靠。</w:t>
      </w:r>
    </w:p>
    <w:p w14:paraId="218B95A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工作量：三台垃圾吊的维保消缺与技术服务。</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3C0CA234">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每季度进行一次结算，服务方提交付款申请、维保报告（需采购人签字验收） 及等额增值税专用发票，采购人自收到准确报告和发票且核对无误后，于次二月完成款项支付，若服务方未按时提供合规发票，采购人的付款期限可相应顺延且不视为违约</w:t>
      </w:r>
      <w:r>
        <w:rPr>
          <w:rFonts w:hint="eastAsia" w:ascii="仿宋" w:hAnsi="仿宋" w:eastAsia="仿宋" w:cs="仿宋"/>
          <w:color w:val="auto"/>
          <w:kern w:val="2"/>
          <w:sz w:val="30"/>
          <w:szCs w:val="30"/>
          <w:highlight w:val="none"/>
          <w:lang w:eastAsia="zh-CN"/>
        </w:rPr>
        <w:t>。</w:t>
      </w:r>
    </w:p>
    <w:p w14:paraId="1DA5C840">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r>
        <w:rPr>
          <w:rFonts w:hint="eastAsia"/>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汽车运输到指定地点，运输费用由供货方承担。   </w:t>
      </w:r>
    </w:p>
    <w:p w14:paraId="50F570C4">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eastAsia="zh-CN"/>
        </w:rPr>
        <w:t>按照《中华人民共和国民法典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w:t>
      </w:r>
      <w:r>
        <w:rPr>
          <w:rFonts w:hint="eastAsia" w:ascii="方正仿宋_GBK" w:hAnsi="方正仿宋_GBK" w:eastAsia="方正仿宋_GBK" w:cs="方正仿宋_GBK"/>
          <w:sz w:val="28"/>
          <w:szCs w:val="28"/>
          <w:lang w:eastAsia="zh-CN"/>
        </w:rPr>
        <w:t>程中</w:t>
      </w:r>
      <w:r>
        <w:rPr>
          <w:rFonts w:hint="eastAsia" w:ascii="方正仿宋_GBK" w:hAnsi="方正仿宋_GBK" w:eastAsia="方正仿宋_GBK" w:cs="方正仿宋_GBK"/>
          <w:sz w:val="28"/>
          <w:szCs w:val="28"/>
        </w:rPr>
        <w:t>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6" w:name="_Toc14763"/>
      <w:r>
        <w:rPr>
          <w:rFonts w:hint="eastAsia" w:ascii="Times New Roman" w:hAnsi="Times New Roman" w:eastAsia="方正仿宋_GBK" w:cs="Times New Roman"/>
          <w:b/>
          <w:bCs/>
          <w:sz w:val="28"/>
          <w:szCs w:val="28"/>
          <w:highlight w:val="none"/>
          <w:lang w:val="en-US" w:eastAsia="zh-CN"/>
        </w:rPr>
        <w:t>附件：</w:t>
      </w:r>
      <w:bookmarkEnd w:id="16"/>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三台垃圾吊年度维保消缺及技术支持项目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2"/>
        <w:numPr>
          <w:ilvl w:val="0"/>
          <w:numId w:val="0"/>
        </w:numPr>
        <w:jc w:val="center"/>
        <w:rPr>
          <w:rFonts w:hint="eastAsia" w:ascii="仿宋" w:hAnsi="仿宋" w:eastAsia="仿宋" w:cs="仿宋"/>
          <w:snapToGrid w:val="0"/>
          <w:sz w:val="44"/>
          <w:szCs w:val="44"/>
        </w:rPr>
      </w:pPr>
      <w:bookmarkStart w:id="17" w:name="_Toc5159"/>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7"/>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三台垃圾吊年度维保消缺及技术支持项目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SX-ZH-WB-2606008</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5052FC72">
      <w:pPr>
        <w:jc w:val="left"/>
        <w:outlineLvl w:val="0"/>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8" w:name="_Toc12044"/>
      <w:r>
        <w:rPr>
          <w:rStyle w:val="21"/>
          <w:rFonts w:hint="eastAsia" w:ascii="仿宋" w:hAnsi="仿宋" w:eastAsia="仿宋" w:cs="仿宋"/>
          <w:sz w:val="30"/>
        </w:rPr>
        <w:t>附件一：</w:t>
      </w:r>
      <w:bookmarkEnd w:id="18"/>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绍兴市再生能源发展有限公司三台垃圾吊年度维保消缺及技术支持 </w:t>
      </w:r>
      <w:r>
        <w:rPr>
          <w:rFonts w:hint="eastAsia" w:ascii="仿宋" w:hAnsi="仿宋" w:eastAsia="仿宋" w:cs="仿宋"/>
          <w:sz w:val="30"/>
          <w:szCs w:val="30"/>
          <w:u w:val="none"/>
          <w:lang w:val="en-US" w:eastAsia="zh-CN"/>
        </w:rPr>
        <w:t>项目。</w:t>
      </w:r>
    </w:p>
    <w:tbl>
      <w:tblPr>
        <w:tblStyle w:val="13"/>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659"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企业资质</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须具有有效期内的“中华人民共和国特种设备生产许可证--起重机械制造(含安装、修理、改造)B级及以上资质”。</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69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企业业绩</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具有类似维保或项目业绩。</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r w14:paraId="1FC82D05">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37A4D0B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3</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75603D15">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管理人员-经验</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5583564B">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管理人员需有3年以上起重机械管理经验。</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06BA477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69D77EE8">
            <w:pPr>
              <w:autoSpaceDE w:val="0"/>
              <w:autoSpaceDN w:val="0"/>
              <w:spacing w:line="360" w:lineRule="auto"/>
              <w:jc w:val="center"/>
              <w:rPr>
                <w:rFonts w:hint="eastAsia" w:ascii="仿宋" w:hAnsi="仿宋" w:eastAsia="仿宋" w:cs="仿宋"/>
                <w:color w:val="auto"/>
                <w:sz w:val="24"/>
                <w:szCs w:val="24"/>
                <w:highlight w:val="none"/>
              </w:rPr>
            </w:pPr>
          </w:p>
        </w:tc>
      </w:tr>
      <w:tr w14:paraId="3D3F0983">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4A5817EE">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4</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363B6861">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技术人员-专项技能</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0B92F7A">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具有科尼垃圾吊PLC维修调试工程师。</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6476FFD6">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2622501F">
            <w:pPr>
              <w:autoSpaceDE w:val="0"/>
              <w:autoSpaceDN w:val="0"/>
              <w:spacing w:line="360" w:lineRule="auto"/>
              <w:jc w:val="center"/>
              <w:rPr>
                <w:rFonts w:hint="eastAsia" w:ascii="仿宋" w:hAnsi="仿宋" w:eastAsia="仿宋" w:cs="仿宋"/>
                <w:color w:val="auto"/>
                <w:sz w:val="24"/>
                <w:szCs w:val="24"/>
                <w:highlight w:val="none"/>
              </w:rPr>
            </w:pPr>
          </w:p>
        </w:tc>
      </w:tr>
      <w:tr w14:paraId="761658B8">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24A561B3">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5</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40951AAF">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作业人员-特种作业证</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1F9126E4">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作业人员需具备以下证件：</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1.低压电工作业证；</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2.高处作业证。</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7F20A30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75768B5A">
            <w:pPr>
              <w:autoSpaceDE w:val="0"/>
              <w:autoSpaceDN w:val="0"/>
              <w:spacing w:line="360" w:lineRule="auto"/>
              <w:jc w:val="center"/>
              <w:rPr>
                <w:rFonts w:hint="eastAsia" w:ascii="仿宋" w:hAnsi="仿宋" w:eastAsia="仿宋" w:cs="仿宋"/>
                <w:color w:val="auto"/>
                <w:sz w:val="24"/>
                <w:szCs w:val="24"/>
                <w:highlight w:val="none"/>
              </w:rPr>
            </w:pPr>
          </w:p>
        </w:tc>
      </w:tr>
    </w:tbl>
    <w:p w14:paraId="0C4FED8B">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 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ECE39BF">
      <w:pPr>
        <w:jc w:val="left"/>
        <w:outlineLvl w:val="0"/>
        <w:rPr>
          <w:rStyle w:val="21"/>
          <w:rFonts w:hint="eastAsia" w:ascii="仿宋" w:hAnsi="仿宋" w:eastAsia="仿宋" w:cs="仿宋"/>
          <w:sz w:val="30"/>
        </w:rPr>
      </w:pPr>
    </w:p>
    <w:p w14:paraId="4A931E0D">
      <w:pPr>
        <w:jc w:val="left"/>
        <w:outlineLvl w:val="0"/>
        <w:rPr>
          <w:rStyle w:val="21"/>
          <w:rFonts w:hint="eastAsia" w:ascii="仿宋" w:hAnsi="仿宋" w:eastAsia="仿宋" w:cs="仿宋"/>
          <w:sz w:val="30"/>
        </w:rPr>
      </w:pPr>
    </w:p>
    <w:p w14:paraId="289347F0">
      <w:pPr>
        <w:jc w:val="left"/>
        <w:outlineLvl w:val="0"/>
        <w:rPr>
          <w:rStyle w:val="21"/>
          <w:rFonts w:hint="eastAsia" w:ascii="仿宋" w:hAnsi="仿宋" w:eastAsia="仿宋" w:cs="仿宋"/>
          <w:sz w:val="30"/>
        </w:rPr>
      </w:pPr>
    </w:p>
    <w:p w14:paraId="714DA679">
      <w:pPr>
        <w:jc w:val="left"/>
        <w:outlineLvl w:val="0"/>
        <w:rPr>
          <w:rStyle w:val="21"/>
          <w:rFonts w:hint="eastAsia" w:ascii="仿宋" w:hAnsi="仿宋" w:eastAsia="仿宋" w:cs="仿宋"/>
          <w:sz w:val="30"/>
        </w:rPr>
      </w:pPr>
    </w:p>
    <w:p w14:paraId="5F2355C8">
      <w:pPr>
        <w:jc w:val="left"/>
        <w:outlineLvl w:val="0"/>
        <w:rPr>
          <w:rStyle w:val="21"/>
          <w:rFonts w:hint="eastAsia" w:ascii="仿宋" w:hAnsi="仿宋" w:eastAsia="仿宋" w:cs="仿宋"/>
          <w:sz w:val="30"/>
        </w:rPr>
      </w:pPr>
    </w:p>
    <w:p w14:paraId="41836E8B">
      <w:pPr>
        <w:jc w:val="left"/>
        <w:outlineLvl w:val="0"/>
        <w:rPr>
          <w:rStyle w:val="21"/>
          <w:rFonts w:hint="eastAsia" w:ascii="仿宋" w:hAnsi="仿宋" w:eastAsia="仿宋" w:cs="仿宋"/>
          <w:sz w:val="30"/>
        </w:rPr>
      </w:pPr>
    </w:p>
    <w:p w14:paraId="5E6F0AB0">
      <w:pPr>
        <w:jc w:val="left"/>
        <w:outlineLvl w:val="0"/>
        <w:rPr>
          <w:rStyle w:val="21"/>
          <w:rFonts w:hint="eastAsia" w:ascii="仿宋" w:hAnsi="仿宋" w:eastAsia="仿宋" w:cs="仿宋"/>
          <w:sz w:val="30"/>
        </w:rPr>
      </w:pPr>
    </w:p>
    <w:p w14:paraId="2A6C9D94">
      <w:pPr>
        <w:jc w:val="left"/>
        <w:outlineLvl w:val="0"/>
        <w:rPr>
          <w:rStyle w:val="21"/>
          <w:rFonts w:hint="eastAsia" w:ascii="仿宋" w:hAnsi="仿宋" w:eastAsia="仿宋" w:cs="仿宋"/>
          <w:sz w:val="30"/>
        </w:rPr>
      </w:pPr>
    </w:p>
    <w:p w14:paraId="49FC582B">
      <w:pPr>
        <w:jc w:val="left"/>
        <w:outlineLvl w:val="0"/>
        <w:rPr>
          <w:rStyle w:val="21"/>
          <w:rFonts w:hint="eastAsia" w:ascii="仿宋" w:hAnsi="仿宋" w:eastAsia="仿宋" w:cs="仿宋"/>
          <w:sz w:val="30"/>
        </w:rPr>
      </w:pPr>
    </w:p>
    <w:p w14:paraId="48887529">
      <w:pPr>
        <w:jc w:val="left"/>
        <w:outlineLvl w:val="0"/>
        <w:rPr>
          <w:rStyle w:val="21"/>
          <w:rFonts w:hint="eastAsia" w:ascii="仿宋" w:hAnsi="仿宋" w:eastAsia="仿宋" w:cs="仿宋"/>
          <w:sz w:val="30"/>
        </w:rPr>
      </w:pPr>
    </w:p>
    <w:p w14:paraId="764599F8">
      <w:pPr>
        <w:jc w:val="left"/>
        <w:outlineLvl w:val="0"/>
        <w:rPr>
          <w:rStyle w:val="21"/>
          <w:rFonts w:hint="eastAsia" w:ascii="仿宋" w:hAnsi="仿宋" w:eastAsia="仿宋" w:cs="仿宋"/>
          <w:sz w:val="30"/>
        </w:rPr>
      </w:pPr>
    </w:p>
    <w:p w14:paraId="60289D8E">
      <w:pPr>
        <w:jc w:val="left"/>
        <w:outlineLvl w:val="0"/>
        <w:rPr>
          <w:rStyle w:val="21"/>
          <w:rFonts w:hint="eastAsia" w:ascii="仿宋" w:hAnsi="仿宋" w:eastAsia="仿宋" w:cs="仿宋"/>
          <w:sz w:val="30"/>
        </w:rPr>
      </w:pPr>
    </w:p>
    <w:p w14:paraId="0FC3E4AF">
      <w:pPr>
        <w:jc w:val="left"/>
        <w:outlineLvl w:val="0"/>
        <w:rPr>
          <w:rStyle w:val="21"/>
          <w:rFonts w:hint="eastAsia" w:ascii="仿宋" w:hAnsi="仿宋" w:eastAsia="仿宋" w:cs="仿宋"/>
          <w:sz w:val="30"/>
        </w:rPr>
      </w:pPr>
    </w:p>
    <w:p w14:paraId="2C9A322D">
      <w:pPr>
        <w:jc w:val="left"/>
        <w:outlineLvl w:val="0"/>
        <w:rPr>
          <w:rStyle w:val="21"/>
          <w:rFonts w:hint="eastAsia" w:ascii="仿宋" w:hAnsi="仿宋" w:eastAsia="仿宋" w:cs="仿宋"/>
          <w:sz w:val="30"/>
        </w:rPr>
      </w:pPr>
    </w:p>
    <w:p w14:paraId="566F031E">
      <w:pPr>
        <w:jc w:val="left"/>
        <w:outlineLvl w:val="0"/>
        <w:rPr>
          <w:rStyle w:val="21"/>
          <w:rFonts w:hint="eastAsia" w:ascii="仿宋" w:hAnsi="仿宋" w:eastAsia="仿宋" w:cs="仿宋"/>
          <w:sz w:val="30"/>
        </w:rPr>
      </w:pPr>
    </w:p>
    <w:p w14:paraId="0272915C">
      <w:pPr>
        <w:jc w:val="left"/>
        <w:outlineLvl w:val="0"/>
        <w:rPr>
          <w:rStyle w:val="21"/>
          <w:rFonts w:hint="eastAsia" w:ascii="仿宋" w:hAnsi="仿宋" w:eastAsia="仿宋" w:cs="仿宋"/>
          <w:sz w:val="30"/>
        </w:rPr>
      </w:pPr>
    </w:p>
    <w:p w14:paraId="657D6C18">
      <w:pPr>
        <w:jc w:val="left"/>
        <w:outlineLvl w:val="0"/>
        <w:rPr>
          <w:rStyle w:val="21"/>
          <w:rFonts w:hint="eastAsia" w:ascii="仿宋" w:hAnsi="仿宋" w:eastAsia="仿宋" w:cs="仿宋"/>
          <w:sz w:val="30"/>
        </w:rPr>
      </w:pPr>
    </w:p>
    <w:p w14:paraId="0DF354F1">
      <w:pPr>
        <w:jc w:val="left"/>
        <w:outlineLvl w:val="0"/>
        <w:rPr>
          <w:rStyle w:val="21"/>
          <w:rFonts w:hint="eastAsia" w:ascii="仿宋" w:hAnsi="仿宋" w:eastAsia="仿宋" w:cs="仿宋"/>
          <w:sz w:val="30"/>
        </w:rPr>
      </w:pPr>
    </w:p>
    <w:p w14:paraId="748C5A06">
      <w:pPr>
        <w:jc w:val="left"/>
        <w:outlineLvl w:val="0"/>
        <w:rPr>
          <w:rStyle w:val="21"/>
          <w:rFonts w:hint="eastAsia" w:ascii="仿宋" w:hAnsi="仿宋" w:eastAsia="仿宋" w:cs="仿宋"/>
          <w:sz w:val="30"/>
        </w:rPr>
      </w:pPr>
    </w:p>
    <w:p w14:paraId="4B91D774">
      <w:pPr>
        <w:jc w:val="left"/>
        <w:outlineLvl w:val="0"/>
        <w:rPr>
          <w:rStyle w:val="21"/>
          <w:rFonts w:hint="eastAsia" w:ascii="仿宋" w:hAnsi="仿宋" w:eastAsia="仿宋" w:cs="仿宋"/>
          <w:sz w:val="30"/>
        </w:rPr>
      </w:pPr>
    </w:p>
    <w:p w14:paraId="045C7AB0">
      <w:pPr>
        <w:jc w:val="left"/>
        <w:outlineLvl w:val="0"/>
        <w:rPr>
          <w:rStyle w:val="21"/>
          <w:rFonts w:hint="eastAsia" w:ascii="仿宋" w:hAnsi="仿宋" w:eastAsia="仿宋" w:cs="仿宋"/>
          <w:sz w:val="30"/>
        </w:rPr>
      </w:pPr>
    </w:p>
    <w:p w14:paraId="2BBCBD9C">
      <w:pPr>
        <w:jc w:val="left"/>
        <w:outlineLvl w:val="0"/>
        <w:rPr>
          <w:rStyle w:val="21"/>
          <w:rFonts w:hint="eastAsia" w:ascii="仿宋" w:hAnsi="仿宋" w:eastAsia="仿宋" w:cs="仿宋"/>
          <w:sz w:val="30"/>
        </w:rPr>
      </w:pPr>
    </w:p>
    <w:p w14:paraId="679AED15">
      <w:pPr>
        <w:jc w:val="left"/>
        <w:outlineLvl w:val="0"/>
        <w:rPr>
          <w:rStyle w:val="21"/>
          <w:rFonts w:hint="eastAsia" w:ascii="仿宋" w:hAnsi="仿宋" w:eastAsia="仿宋" w:cs="仿宋"/>
          <w:sz w:val="30"/>
        </w:rPr>
      </w:pPr>
    </w:p>
    <w:p w14:paraId="04507092">
      <w:pPr>
        <w:jc w:val="left"/>
        <w:outlineLvl w:val="0"/>
        <w:rPr>
          <w:rStyle w:val="21"/>
          <w:rFonts w:hint="eastAsia" w:ascii="仿宋" w:hAnsi="仿宋" w:eastAsia="仿宋" w:cs="仿宋"/>
          <w:sz w:val="30"/>
        </w:rPr>
      </w:pPr>
    </w:p>
    <w:p w14:paraId="76DD92E9">
      <w:pPr>
        <w:jc w:val="left"/>
        <w:outlineLvl w:val="0"/>
        <w:rPr>
          <w:rStyle w:val="21"/>
          <w:rFonts w:hint="eastAsia" w:ascii="仿宋" w:hAnsi="仿宋" w:eastAsia="仿宋" w:cs="仿宋"/>
          <w:sz w:val="30"/>
        </w:rPr>
      </w:pPr>
    </w:p>
    <w:p w14:paraId="6DC3F842">
      <w:pPr>
        <w:jc w:val="left"/>
        <w:outlineLvl w:val="0"/>
        <w:rPr>
          <w:rStyle w:val="21"/>
          <w:rFonts w:hint="eastAsia" w:ascii="仿宋" w:hAnsi="仿宋" w:eastAsia="仿宋" w:cs="仿宋"/>
          <w:sz w:val="30"/>
        </w:rPr>
      </w:pPr>
    </w:p>
    <w:p w14:paraId="3D42A06C">
      <w:pPr>
        <w:jc w:val="left"/>
        <w:outlineLvl w:val="0"/>
        <w:rPr>
          <w:rStyle w:val="21"/>
          <w:rFonts w:hint="eastAsia" w:ascii="仿宋" w:hAnsi="仿宋" w:eastAsia="仿宋" w:cs="仿宋"/>
          <w:sz w:val="30"/>
        </w:rPr>
      </w:pPr>
    </w:p>
    <w:p w14:paraId="55E3DB93">
      <w:pPr>
        <w:jc w:val="left"/>
        <w:outlineLvl w:val="0"/>
        <w:rPr>
          <w:rStyle w:val="21"/>
          <w:rFonts w:hint="eastAsia" w:ascii="仿宋" w:hAnsi="仿宋" w:eastAsia="仿宋" w:cs="仿宋"/>
          <w:sz w:val="30"/>
        </w:rPr>
      </w:pPr>
    </w:p>
    <w:p w14:paraId="06FFBA61">
      <w:pPr>
        <w:jc w:val="left"/>
        <w:outlineLvl w:val="0"/>
        <w:rPr>
          <w:rStyle w:val="21"/>
          <w:rFonts w:hint="eastAsia" w:ascii="仿宋" w:hAnsi="仿宋" w:eastAsia="仿宋" w:cs="仿宋"/>
          <w:sz w:val="30"/>
        </w:rPr>
      </w:pPr>
    </w:p>
    <w:p w14:paraId="08CA967B">
      <w:pPr>
        <w:jc w:val="left"/>
        <w:outlineLvl w:val="0"/>
        <w:rPr>
          <w:rStyle w:val="21"/>
          <w:rFonts w:hint="eastAsia" w:ascii="仿宋" w:hAnsi="仿宋" w:eastAsia="仿宋" w:cs="仿宋"/>
          <w:sz w:val="30"/>
        </w:rPr>
      </w:pPr>
      <w:bookmarkStart w:id="19" w:name="_Toc18885"/>
      <w:r>
        <w:rPr>
          <w:rStyle w:val="21"/>
          <w:rFonts w:hint="eastAsia" w:ascii="仿宋" w:hAnsi="仿宋" w:eastAsia="仿宋" w:cs="仿宋"/>
          <w:sz w:val="30"/>
        </w:rPr>
        <w:t>附件</w:t>
      </w:r>
      <w:r>
        <w:rPr>
          <w:rStyle w:val="21"/>
          <w:rFonts w:hint="eastAsia" w:ascii="仿宋" w:hAnsi="仿宋" w:eastAsia="仿宋" w:cs="仿宋"/>
          <w:sz w:val="30"/>
          <w:lang w:val="en-US"/>
        </w:rPr>
        <w:t>二</w:t>
      </w:r>
      <w:r>
        <w:rPr>
          <w:rStyle w:val="21"/>
          <w:rFonts w:hint="eastAsia" w:ascii="仿宋" w:hAnsi="仿宋" w:eastAsia="仿宋" w:cs="仿宋"/>
          <w:sz w:val="30"/>
        </w:rPr>
        <w:t>：</w:t>
      </w:r>
      <w:bookmarkEnd w:id="19"/>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三台垃圾吊年度维保消缺及技术支持 </w:t>
      </w:r>
      <w:r>
        <w:rPr>
          <w:rFonts w:hint="eastAsia" w:ascii="仿宋" w:hAnsi="仿宋" w:eastAsia="仿宋" w:cs="仿宋"/>
          <w:sz w:val="30"/>
          <w:szCs w:val="30"/>
          <w:u w:val="none"/>
          <w:lang w:val="en-US" w:eastAsia="zh-CN"/>
        </w:rPr>
        <w:t>项目。</w:t>
      </w:r>
    </w:p>
    <w:tbl>
      <w:tblPr>
        <w:tblStyle w:val="13"/>
        <w:tblW w:w="5915" w:type="pct"/>
        <w:jc w:val="center"/>
        <w:tblLayout w:type="fixed"/>
        <w:tblCellMar>
          <w:top w:w="0" w:type="dxa"/>
          <w:left w:w="108" w:type="dxa"/>
          <w:bottom w:w="0" w:type="dxa"/>
          <w:right w:w="108" w:type="dxa"/>
        </w:tblCellMar>
      </w:tblPr>
      <w:tblGrid>
        <w:gridCol w:w="815"/>
        <w:gridCol w:w="2035"/>
        <w:gridCol w:w="4395"/>
        <w:gridCol w:w="2352"/>
        <w:gridCol w:w="1392"/>
      </w:tblGrid>
      <w:tr w14:paraId="7B10FEF1">
        <w:tblPrEx>
          <w:tblCellMar>
            <w:top w:w="0" w:type="dxa"/>
            <w:left w:w="108" w:type="dxa"/>
            <w:bottom w:w="0" w:type="dxa"/>
            <w:right w:w="108" w:type="dxa"/>
          </w:tblCellMar>
        </w:tblPrEx>
        <w:trPr>
          <w:trHeight w:val="467"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3882E5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176C0F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76DD4C7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项目内容</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7E506B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3FA2E1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5A0AC2E0">
        <w:tblPrEx>
          <w:tblCellMar>
            <w:top w:w="0" w:type="dxa"/>
            <w:left w:w="108" w:type="dxa"/>
            <w:bottom w:w="0" w:type="dxa"/>
            <w:right w:w="108" w:type="dxa"/>
          </w:tblCellMar>
        </w:tblPrEx>
        <w:trPr>
          <w:trHeight w:val="1777"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234A172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1EF816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三台垃圾吊年度维保消缺及技术支持</w:t>
            </w:r>
          </w:p>
        </w:tc>
        <w:tc>
          <w:tcPr>
            <w:tcW w:w="4033" w:type="dxa"/>
            <w:tcBorders>
              <w:top w:val="single" w:color="000000" w:sz="4" w:space="0"/>
              <w:left w:val="single" w:color="000000" w:sz="4" w:space="0"/>
              <w:bottom w:val="single" w:color="000000" w:sz="4" w:space="0"/>
              <w:right w:val="single" w:color="000000" w:sz="4" w:space="0"/>
            </w:tcBorders>
            <w:noWrap w:val="0"/>
            <w:vAlign w:val="center"/>
          </w:tcPr>
          <w:p w14:paraId="6E38990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三台垃圾吊按周期全面维护检查保养消缺(包含机械部分和电气部分),对一些高强度部件及电气设备进行必要的预防性维护试验，查找现场隐患，对现场易损易耗部件周期进行预估，提出备件最小库存清单</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14:paraId="044867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详见询价文件</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34D2ECD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0512006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每季度进行一次结算，服务方提交付款申请、维保报告（需采购人签字验收） 及等额增值税专用发票，采购人自收到准确报告和发票且核对无误后，于次二月完成款项支付，若服务方未按时提供合规发票，采购人的付款期限可相应顺延且不视为</w:t>
      </w:r>
      <w:r>
        <w:rPr>
          <w:rFonts w:hint="eastAsia" w:ascii="仿宋" w:hAnsi="仿宋" w:eastAsia="仿宋" w:cs="仿宋"/>
          <w:sz w:val="30"/>
          <w:szCs w:val="30"/>
          <w:highlight w:val="none"/>
          <w:lang w:val="en-US" w:eastAsia="zh-CN"/>
        </w:rPr>
        <w:t>违约</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41BC28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yellow"/>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eastAsia="zh-CN"/>
        </w:rPr>
        <w:t>目采购总金额限价人民币38.9</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2.</w:t>
      </w:r>
      <w:r>
        <w:rPr>
          <w:rFonts w:hint="eastAsia" w:ascii="仿宋" w:hAnsi="仿宋" w:eastAsia="仿宋" w:cs="仿宋"/>
          <w:color w:val="auto"/>
          <w:sz w:val="30"/>
          <w:szCs w:val="30"/>
          <w:highlight w:val="none"/>
          <w:lang w:val="en-US" w:eastAsia="zh-CN"/>
        </w:rPr>
        <w:t>预成交公示结束后，中标人在收到招标人拟订合同（所中标项</w:t>
      </w:r>
      <w:r>
        <w:rPr>
          <w:rFonts w:hint="eastAsia" w:ascii="仿宋" w:hAnsi="仿宋" w:eastAsia="仿宋" w:cs="仿宋"/>
          <w:color w:val="auto"/>
          <w:sz w:val="30"/>
          <w:szCs w:val="30"/>
          <w:lang w:val="en-US" w:eastAsia="zh-CN"/>
        </w:rPr>
        <w:t>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3.以上总价应为含税全包价，包括运费、税费等一切费用，发票必须为增值税专用发票。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2BE99251">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E1333BF">
      <w:pPr>
        <w:jc w:val="left"/>
        <w:outlineLvl w:val="0"/>
        <w:rPr>
          <w:rStyle w:val="21"/>
          <w:rFonts w:hint="eastAsia" w:ascii="仿宋" w:hAnsi="仿宋" w:eastAsia="仿宋" w:cs="仿宋"/>
          <w:sz w:val="30"/>
        </w:rPr>
      </w:pPr>
      <w:bookmarkStart w:id="20" w:name="_Toc14352"/>
      <w:bookmarkStart w:id="21" w:name="_Toc108839328"/>
      <w:bookmarkStart w:id="22" w:name="_Toc103165678"/>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bookmarkEnd w:id="20"/>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三台垃圾吊年度维保消缺及技术支持 </w:t>
      </w:r>
      <w:r>
        <w:rPr>
          <w:rFonts w:hint="eastAsia" w:ascii="仿宋" w:hAnsi="仿宋" w:eastAsia="仿宋" w:cs="仿宋"/>
          <w:color w:val="auto"/>
          <w:sz w:val="30"/>
          <w:szCs w:val="30"/>
          <w:u w:val="none"/>
          <w:lang w:val="en-US" w:eastAsia="zh-CN"/>
        </w:rPr>
        <w:t>项目。</w:t>
      </w:r>
    </w:p>
    <w:tbl>
      <w:tblPr>
        <w:tblStyle w:val="13"/>
        <w:tblW w:w="5915" w:type="pct"/>
        <w:jc w:val="center"/>
        <w:tblLayout w:type="fixed"/>
        <w:tblCellMar>
          <w:top w:w="0" w:type="dxa"/>
          <w:left w:w="108" w:type="dxa"/>
          <w:bottom w:w="0" w:type="dxa"/>
          <w:right w:w="108" w:type="dxa"/>
        </w:tblCellMar>
      </w:tblPr>
      <w:tblGrid>
        <w:gridCol w:w="815"/>
        <w:gridCol w:w="2035"/>
        <w:gridCol w:w="4395"/>
        <w:gridCol w:w="2352"/>
        <w:gridCol w:w="1392"/>
      </w:tblGrid>
      <w:tr w14:paraId="24A02C0F">
        <w:tblPrEx>
          <w:tblCellMar>
            <w:top w:w="0" w:type="dxa"/>
            <w:left w:w="108" w:type="dxa"/>
            <w:bottom w:w="0" w:type="dxa"/>
            <w:right w:w="108" w:type="dxa"/>
          </w:tblCellMar>
        </w:tblPrEx>
        <w:trPr>
          <w:trHeight w:val="467"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5709C1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01BD0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3409779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项目内容</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5C7470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015361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258B54F0">
        <w:tblPrEx>
          <w:tblCellMar>
            <w:top w:w="0" w:type="dxa"/>
            <w:left w:w="108" w:type="dxa"/>
            <w:bottom w:w="0" w:type="dxa"/>
            <w:right w:w="108" w:type="dxa"/>
          </w:tblCellMar>
        </w:tblPrEx>
        <w:trPr>
          <w:trHeight w:val="1177"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28BE3C6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CAB93D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p>
        </w:tc>
        <w:tc>
          <w:tcPr>
            <w:tcW w:w="4033" w:type="dxa"/>
            <w:tcBorders>
              <w:top w:val="single" w:color="000000" w:sz="4" w:space="0"/>
              <w:left w:val="single" w:color="000000" w:sz="4" w:space="0"/>
              <w:bottom w:val="single" w:color="000000" w:sz="4" w:space="0"/>
              <w:right w:val="single" w:color="000000" w:sz="4" w:space="0"/>
            </w:tcBorders>
            <w:noWrap w:val="0"/>
            <w:vAlign w:val="center"/>
          </w:tcPr>
          <w:p w14:paraId="3D872C9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14:paraId="23B0DC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06B278B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794D424E">
      <w:pPr>
        <w:pStyle w:val="9"/>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每季度进行一次结算，服务方提交付款申请、维保报告（需采购人签字验收） 及等额增值税专用发票，采购人自收到准确报告和发票且核对无误后，于次二月完成款项支付</w:t>
      </w:r>
      <w:r>
        <w:rPr>
          <w:rFonts w:hint="eastAsia" w:ascii="仿宋" w:hAnsi="仿宋" w:eastAsia="仿宋" w:cs="仿宋"/>
          <w:color w:val="auto"/>
          <w:sz w:val="30"/>
          <w:szCs w:val="30"/>
          <w:highlight w:val="none"/>
          <w:lang w:val="en-US" w:eastAsia="zh-CN"/>
        </w:rPr>
        <w:t>，若服务方未按时提供合规发票，采购人的付款期限可相应顺延且不视为违约</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3DAC185">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bookmarkEnd w:id="21"/>
    <w:bookmarkEnd w:id="22"/>
    <w:p w14:paraId="6004A5C2">
      <w:pPr>
        <w:jc w:val="left"/>
        <w:outlineLvl w:val="0"/>
        <w:rPr>
          <w:rStyle w:val="21"/>
          <w:rFonts w:hint="eastAsia" w:ascii="仿宋" w:hAnsi="仿宋" w:eastAsia="仿宋" w:cs="仿宋"/>
          <w:sz w:val="30"/>
        </w:rPr>
      </w:pPr>
      <w:bookmarkStart w:id="23" w:name="_Toc28603"/>
      <w:r>
        <w:rPr>
          <w:rStyle w:val="21"/>
          <w:rFonts w:hint="eastAsia" w:ascii="仿宋" w:hAnsi="仿宋" w:eastAsia="仿宋" w:cs="仿宋"/>
          <w:sz w:val="30"/>
        </w:rPr>
        <w:t>附件</w:t>
      </w:r>
      <w:r>
        <w:rPr>
          <w:rStyle w:val="21"/>
          <w:rFonts w:hint="eastAsia" w:ascii="仿宋" w:hAnsi="仿宋" w:eastAsia="仿宋" w:cs="仿宋"/>
          <w:sz w:val="30"/>
          <w:lang w:val="en-US"/>
        </w:rPr>
        <w:t>四</w:t>
      </w:r>
      <w:r>
        <w:rPr>
          <w:rStyle w:val="21"/>
          <w:rFonts w:hint="eastAsia" w:ascii="仿宋" w:hAnsi="仿宋" w:eastAsia="仿宋" w:cs="仿宋"/>
          <w:sz w:val="30"/>
        </w:rPr>
        <w:t>：</w:t>
      </w:r>
      <w:bookmarkEnd w:id="23"/>
    </w:p>
    <w:p w14:paraId="6DD8282D">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三台垃圾吊年度维保消缺及技术支持项目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bookmarkStart w:id="24" w:name="_GoBack"/>
      <w:r>
        <w:rPr>
          <w:rFonts w:hint="eastAsia" w:ascii="仿宋" w:hAnsi="仿宋" w:eastAsia="仿宋" w:cs="仿宋"/>
          <w:sz w:val="28"/>
          <w:szCs w:val="28"/>
          <w:lang w:eastAsia="zh-CN"/>
        </w:rPr>
        <w:t>二〇二六</w:t>
      </w:r>
      <w:bookmarkEnd w:id="24"/>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8F1D9617"/>
    <w:multiLevelType w:val="singleLevel"/>
    <w:tmpl w:val="8F1D9617"/>
    <w:lvl w:ilvl="0" w:tentative="0">
      <w:start w:val="1"/>
      <w:numFmt w:val="decimal"/>
      <w:suff w:val="nothing"/>
      <w:lvlText w:val="%1"/>
      <w:lvlJc w:val="left"/>
      <w:pPr>
        <w:ind w:left="635" w:leftChars="0" w:hanging="425" w:firstLineChars="0"/>
      </w:pPr>
      <w:rPr>
        <w:rFonts w:hint="default"/>
      </w:rPr>
    </w:lvl>
  </w:abstractNum>
  <w:abstractNum w:abstractNumId="4">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5">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4"/>
  </w:num>
  <w:num w:numId="5">
    <w:abstractNumId w:val="6"/>
  </w:num>
  <w:num w:numId="6">
    <w:abstractNumId w:val="0"/>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617E6"/>
    <w:rsid w:val="003A657B"/>
    <w:rsid w:val="00517D5D"/>
    <w:rsid w:val="005926A3"/>
    <w:rsid w:val="008746A5"/>
    <w:rsid w:val="00B574EC"/>
    <w:rsid w:val="01D22213"/>
    <w:rsid w:val="027619AC"/>
    <w:rsid w:val="02834D04"/>
    <w:rsid w:val="031428FF"/>
    <w:rsid w:val="038D5656"/>
    <w:rsid w:val="03F95A31"/>
    <w:rsid w:val="04531E45"/>
    <w:rsid w:val="04605697"/>
    <w:rsid w:val="04FD1ABF"/>
    <w:rsid w:val="056A79D6"/>
    <w:rsid w:val="05D22118"/>
    <w:rsid w:val="05D355DF"/>
    <w:rsid w:val="06057AB3"/>
    <w:rsid w:val="062B00FD"/>
    <w:rsid w:val="067A3460"/>
    <w:rsid w:val="076328DA"/>
    <w:rsid w:val="07A76692"/>
    <w:rsid w:val="08186607"/>
    <w:rsid w:val="083A3947"/>
    <w:rsid w:val="08F93082"/>
    <w:rsid w:val="091547C0"/>
    <w:rsid w:val="093F2ABC"/>
    <w:rsid w:val="097479E0"/>
    <w:rsid w:val="09EF44EC"/>
    <w:rsid w:val="0A0C6ADD"/>
    <w:rsid w:val="0A32752C"/>
    <w:rsid w:val="0A9D29B8"/>
    <w:rsid w:val="0B2C6C02"/>
    <w:rsid w:val="0B8E6D39"/>
    <w:rsid w:val="0BC12699"/>
    <w:rsid w:val="0BCC31F9"/>
    <w:rsid w:val="0C5A16A4"/>
    <w:rsid w:val="0DC35837"/>
    <w:rsid w:val="0DE61498"/>
    <w:rsid w:val="0DF142F0"/>
    <w:rsid w:val="110C39D4"/>
    <w:rsid w:val="1297576D"/>
    <w:rsid w:val="12BF4C87"/>
    <w:rsid w:val="12E70A09"/>
    <w:rsid w:val="1325794A"/>
    <w:rsid w:val="13731702"/>
    <w:rsid w:val="15061C4B"/>
    <w:rsid w:val="15341747"/>
    <w:rsid w:val="164F6705"/>
    <w:rsid w:val="16646293"/>
    <w:rsid w:val="16A83419"/>
    <w:rsid w:val="16FE5921"/>
    <w:rsid w:val="17B042A1"/>
    <w:rsid w:val="18987177"/>
    <w:rsid w:val="1906629D"/>
    <w:rsid w:val="190D0CE8"/>
    <w:rsid w:val="1A2B7D96"/>
    <w:rsid w:val="1A62541A"/>
    <w:rsid w:val="1BD33B78"/>
    <w:rsid w:val="1BDB7A03"/>
    <w:rsid w:val="1BE0140E"/>
    <w:rsid w:val="1BEC2FB3"/>
    <w:rsid w:val="1CE262BC"/>
    <w:rsid w:val="1D6D770B"/>
    <w:rsid w:val="1D94296D"/>
    <w:rsid w:val="1DF976C9"/>
    <w:rsid w:val="1E191157"/>
    <w:rsid w:val="1E1A21EF"/>
    <w:rsid w:val="1E6A2889"/>
    <w:rsid w:val="203B090D"/>
    <w:rsid w:val="21135480"/>
    <w:rsid w:val="211D7593"/>
    <w:rsid w:val="212C3971"/>
    <w:rsid w:val="214D7086"/>
    <w:rsid w:val="21BA7E4E"/>
    <w:rsid w:val="22DF5956"/>
    <w:rsid w:val="22ED7F5E"/>
    <w:rsid w:val="23AD6C0F"/>
    <w:rsid w:val="23D12305"/>
    <w:rsid w:val="24130D0C"/>
    <w:rsid w:val="259E2C64"/>
    <w:rsid w:val="25A3101C"/>
    <w:rsid w:val="26F76768"/>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2DF6F75"/>
    <w:rsid w:val="33353039"/>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4322DB"/>
    <w:rsid w:val="426B25D4"/>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DA44A2"/>
    <w:rsid w:val="48E14418"/>
    <w:rsid w:val="490432DC"/>
    <w:rsid w:val="491635D4"/>
    <w:rsid w:val="49E7480F"/>
    <w:rsid w:val="4AE97537"/>
    <w:rsid w:val="4AF173EE"/>
    <w:rsid w:val="4B0D618C"/>
    <w:rsid w:val="4B781FD0"/>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705511"/>
    <w:rsid w:val="51D845E4"/>
    <w:rsid w:val="52341DDD"/>
    <w:rsid w:val="531111FC"/>
    <w:rsid w:val="533444FB"/>
    <w:rsid w:val="55C54FE9"/>
    <w:rsid w:val="55E07717"/>
    <w:rsid w:val="561F1F28"/>
    <w:rsid w:val="56397366"/>
    <w:rsid w:val="57105FDC"/>
    <w:rsid w:val="58080247"/>
    <w:rsid w:val="58C27322"/>
    <w:rsid w:val="5950112B"/>
    <w:rsid w:val="59C3293C"/>
    <w:rsid w:val="5A1C766A"/>
    <w:rsid w:val="5B3710B2"/>
    <w:rsid w:val="5B5E63DA"/>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883C62"/>
    <w:rsid w:val="71C5585F"/>
    <w:rsid w:val="720E79AF"/>
    <w:rsid w:val="73A1381E"/>
    <w:rsid w:val="7459468D"/>
    <w:rsid w:val="749131D7"/>
    <w:rsid w:val="756F240E"/>
    <w:rsid w:val="759D3BC6"/>
    <w:rsid w:val="779817DA"/>
    <w:rsid w:val="77D476E8"/>
    <w:rsid w:val="782A7918"/>
    <w:rsid w:val="79715756"/>
    <w:rsid w:val="7A500C84"/>
    <w:rsid w:val="7A640EC3"/>
    <w:rsid w:val="7A7B08FF"/>
    <w:rsid w:val="7AE21E9E"/>
    <w:rsid w:val="7B027F4F"/>
    <w:rsid w:val="7B09318D"/>
    <w:rsid w:val="7B6004E6"/>
    <w:rsid w:val="7BE14791"/>
    <w:rsid w:val="7C4C470C"/>
    <w:rsid w:val="7C920257"/>
    <w:rsid w:val="7CD03426"/>
    <w:rsid w:val="7DDA7768"/>
    <w:rsid w:val="7DFA5FDE"/>
    <w:rsid w:val="7E0B3994"/>
    <w:rsid w:val="7F5B6E61"/>
    <w:rsid w:val="7F6C1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8">
    <w:name w:val="Table Text"/>
    <w:basedOn w:val="1"/>
    <w:semiHidden/>
    <w:qFormat/>
    <w:uiPriority w:val="0"/>
    <w:rPr>
      <w:rFonts w:ascii="宋体" w:hAnsi="宋体" w:eastAsia="宋体" w:cs="宋体"/>
      <w:sz w:val="22"/>
      <w:szCs w:val="22"/>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9224</Words>
  <Characters>9538</Characters>
  <Lines>53</Lines>
  <Paragraphs>15</Paragraphs>
  <TotalTime>2</TotalTime>
  <ScaleCrop>false</ScaleCrop>
  <LinksUpToDate>false</LinksUpToDate>
  <CharactersWithSpaces>10567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2026-07-03T01:55:00Z</cp:lastPrinted>
  <dcterms:modified xsi:type="dcterms:W3CDTF">2026-07-03T08:48:09Z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BB6A080A072C4BB5A27A4C8FB51D4E9C_13</vt:lpwstr>
  </property>
  <property fmtid="{D5CDD505-2E9C-101B-9397-08002B2CF9AE}" pid="4" name="KSOTemplateDocerSaveRecord">
    <vt:lpwstr>eyJoZGlkIjoiZDU5ZmYzODUyNjg1MTM3NmE2OTBjZTA2MmE1ZDJlMDUiLCJ1c2VySWQiOiI0MTkyNjk4ODkifQ==</vt:lpwstr>
  </property>
</Properties>
</file>