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EB419">
      <w:pPr>
        <w:jc w:val="center"/>
        <w:rPr>
          <w:rFonts w:hint="eastAsia" w:ascii="仿宋" w:hAnsi="仿宋" w:eastAsia="仿宋" w:cs="仿宋"/>
          <w:sz w:val="72"/>
          <w:highlight w:val="none"/>
        </w:rPr>
      </w:pPr>
    </w:p>
    <w:p w14:paraId="23668EBA">
      <w:pPr>
        <w:jc w:val="center"/>
        <w:rPr>
          <w:rFonts w:hint="eastAsia" w:ascii="仿宋" w:hAnsi="仿宋" w:eastAsia="仿宋" w:cs="仿宋"/>
          <w:sz w:val="72"/>
          <w:highlight w:val="none"/>
        </w:rPr>
      </w:pPr>
    </w:p>
    <w:p w14:paraId="34ECD07E">
      <w:pPr>
        <w:jc w:val="center"/>
        <w:outlineLvl w:val="0"/>
        <w:rPr>
          <w:rFonts w:hint="eastAsia" w:ascii="仿宋_GB2312" w:hAnsi="宋体" w:eastAsia="仿宋_GB2312"/>
          <w:b/>
          <w:sz w:val="52"/>
          <w:szCs w:val="52"/>
          <w:highlight w:val="none"/>
        </w:rPr>
      </w:pPr>
      <w:bookmarkStart w:id="0" w:name="_Toc11435"/>
      <w:r>
        <w:rPr>
          <w:rFonts w:hint="eastAsia" w:ascii="仿宋_GB2312" w:hAnsi="宋体" w:eastAsia="仿宋_GB2312"/>
          <w:b/>
          <w:sz w:val="52"/>
          <w:szCs w:val="52"/>
          <w:highlight w:val="none"/>
          <w:lang w:eastAsia="zh-CN"/>
        </w:rPr>
        <w:t>绍兴市再生能源发展有限公司</w:t>
      </w:r>
      <w:bookmarkEnd w:id="0"/>
    </w:p>
    <w:p w14:paraId="543ECF22">
      <w:pPr>
        <w:pStyle w:val="12"/>
        <w:rPr>
          <w:highlight w:val="none"/>
        </w:rPr>
      </w:pPr>
    </w:p>
    <w:p w14:paraId="54EFD54C">
      <w:pPr>
        <w:jc w:val="center"/>
        <w:rPr>
          <w:rFonts w:hint="default" w:ascii="仿宋_GB2312" w:hAnsi="宋体" w:eastAsia="仿宋_GB2312"/>
          <w:b/>
          <w:sz w:val="52"/>
          <w:szCs w:val="52"/>
          <w:highlight w:val="none"/>
          <w:lang w:val="en-US" w:eastAsia="zh-CN"/>
        </w:rPr>
      </w:pPr>
      <w:r>
        <w:rPr>
          <w:rFonts w:hint="default" w:ascii="仿宋_GB2312" w:hAnsi="宋体" w:eastAsia="仿宋_GB2312"/>
          <w:b/>
          <w:sz w:val="52"/>
          <w:szCs w:val="52"/>
          <w:highlight w:val="none"/>
          <w:lang w:val="en-US" w:eastAsia="zh-CN"/>
        </w:rPr>
        <w:t>超滤膜采购项目</w:t>
      </w:r>
    </w:p>
    <w:p w14:paraId="6F730390">
      <w:pPr>
        <w:jc w:val="center"/>
        <w:rPr>
          <w:rFonts w:hint="eastAsia" w:ascii="仿宋_GB2312" w:hAnsi="宋体" w:eastAsia="仿宋_GB2312"/>
          <w:b/>
          <w:sz w:val="52"/>
          <w:szCs w:val="52"/>
          <w:highlight w:val="none"/>
          <w:lang w:eastAsia="zh-CN"/>
        </w:rPr>
      </w:pPr>
      <w:r>
        <w:rPr>
          <w:rFonts w:hint="eastAsia" w:ascii="仿宋_GB2312" w:hAnsi="宋体" w:eastAsia="仿宋_GB2312"/>
          <w:b/>
          <w:sz w:val="52"/>
          <w:szCs w:val="52"/>
          <w:highlight w:val="none"/>
          <w:lang w:eastAsia="zh-CN"/>
        </w:rPr>
        <w:t>挂网</w:t>
      </w:r>
      <w:r>
        <w:rPr>
          <w:rFonts w:hint="eastAsia" w:ascii="仿宋_GB2312" w:hAnsi="宋体" w:eastAsia="仿宋_GB2312"/>
          <w:b/>
          <w:sz w:val="52"/>
          <w:szCs w:val="52"/>
          <w:highlight w:val="none"/>
        </w:rPr>
        <w:t>文件</w:t>
      </w:r>
    </w:p>
    <w:p w14:paraId="7C1F7162">
      <w:pPr>
        <w:jc w:val="center"/>
        <w:rPr>
          <w:rFonts w:hint="eastAsia" w:ascii="仿宋" w:hAnsi="仿宋" w:eastAsia="仿宋" w:cs="仿宋"/>
          <w:b/>
          <w:sz w:val="48"/>
          <w:szCs w:val="48"/>
          <w:highlight w:val="none"/>
        </w:rPr>
      </w:pPr>
    </w:p>
    <w:p w14:paraId="6778471B">
      <w:pPr>
        <w:spacing w:line="360" w:lineRule="auto"/>
        <w:rPr>
          <w:rFonts w:hint="eastAsia" w:ascii="仿宋" w:hAnsi="仿宋" w:eastAsia="仿宋" w:cs="仿宋"/>
          <w:sz w:val="40"/>
          <w:szCs w:val="48"/>
          <w:highlight w:val="none"/>
        </w:rPr>
      </w:pPr>
    </w:p>
    <w:p w14:paraId="45CFA879">
      <w:pPr>
        <w:spacing w:line="360" w:lineRule="auto"/>
        <w:rPr>
          <w:rFonts w:hint="eastAsia" w:ascii="仿宋" w:hAnsi="仿宋" w:eastAsia="仿宋" w:cs="仿宋"/>
          <w:sz w:val="40"/>
          <w:szCs w:val="48"/>
          <w:highlight w:val="none"/>
        </w:rPr>
      </w:pPr>
    </w:p>
    <w:p w14:paraId="4EE1A441">
      <w:pPr>
        <w:spacing w:line="360" w:lineRule="auto"/>
        <w:rPr>
          <w:rFonts w:hint="eastAsia" w:ascii="仿宋" w:hAnsi="仿宋" w:eastAsia="仿宋" w:cs="仿宋"/>
          <w:sz w:val="40"/>
          <w:szCs w:val="48"/>
          <w:highlight w:val="none"/>
        </w:rPr>
      </w:pPr>
    </w:p>
    <w:p w14:paraId="36405B2A">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w:t>
      </w:r>
      <w:bookmarkEnd w:id="1"/>
      <w:r>
        <w:rPr>
          <w:rFonts w:hint="eastAsia" w:ascii="仿宋" w:hAnsi="仿宋" w:eastAsia="仿宋" w:cs="仿宋"/>
          <w:sz w:val="32"/>
          <w:szCs w:val="32"/>
          <w:highlight w:val="none"/>
          <w:u w:val="single"/>
          <w:lang w:val="en-US" w:eastAsia="zh-CN"/>
        </w:rPr>
        <w:t xml:space="preserve">CG-CL-2607018 </w:t>
      </w:r>
    </w:p>
    <w:p w14:paraId="6D250556">
      <w:pPr>
        <w:spacing w:line="360" w:lineRule="auto"/>
        <w:ind w:firstLine="80" w:firstLineChars="25"/>
        <w:jc w:val="center"/>
        <w:rPr>
          <w:rFonts w:hint="eastAsia" w:ascii="仿宋" w:hAnsi="仿宋" w:eastAsia="仿宋" w:cs="仿宋"/>
          <w:sz w:val="32"/>
          <w:szCs w:val="32"/>
          <w:highlight w:val="none"/>
          <w:u w:val="single"/>
          <w:lang w:val="en-US" w:eastAsia="zh-CN"/>
        </w:rPr>
      </w:pPr>
      <w:bookmarkStart w:id="2" w:name="OLE_LINK52"/>
      <w:bookmarkStart w:id="3" w:name="OLE_LINK53"/>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 xml:space="preserve"> 超滤膜采购项目</w:t>
      </w:r>
    </w:p>
    <w:p w14:paraId="6A82DF5E">
      <w:pPr>
        <w:spacing w:line="360" w:lineRule="auto"/>
        <w:ind w:firstLine="80" w:firstLineChars="25"/>
        <w:jc w:val="center"/>
        <w:rPr>
          <w:rFonts w:hint="eastAsia" w:ascii="仿宋" w:hAnsi="仿宋" w:eastAsia="仿宋" w:cs="仿宋"/>
          <w:sz w:val="32"/>
          <w:szCs w:val="32"/>
          <w:highlight w:val="none"/>
          <w:u w:val="single"/>
          <w:lang w:val="en-US" w:eastAsia="zh-CN"/>
        </w:rPr>
      </w:pPr>
    </w:p>
    <w:p w14:paraId="12F97776">
      <w:pPr>
        <w:rPr>
          <w:rFonts w:hint="eastAsia" w:ascii="仿宋" w:hAnsi="仿宋" w:eastAsia="仿宋" w:cs="仿宋"/>
          <w:sz w:val="84"/>
          <w:highlight w:val="none"/>
        </w:rPr>
      </w:pPr>
    </w:p>
    <w:p w14:paraId="33BAD177">
      <w:pPr>
        <w:rPr>
          <w:rFonts w:hint="eastAsia" w:ascii="仿宋" w:hAnsi="仿宋" w:eastAsia="仿宋" w:cs="仿宋"/>
          <w:sz w:val="84"/>
          <w:highlight w:val="none"/>
        </w:rPr>
      </w:pPr>
    </w:p>
    <w:p w14:paraId="1BFEA016">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绍兴市再生能源发展有限公司</w:t>
      </w:r>
    </w:p>
    <w:p w14:paraId="289C425F">
      <w:pPr>
        <w:spacing w:line="360" w:lineRule="auto"/>
        <w:jc w:val="center"/>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p>
    <w:p w14:paraId="1B2C013F">
      <w:pPr>
        <w:spacing w:line="360" w:lineRule="auto"/>
        <w:jc w:val="center"/>
        <w:rPr>
          <w:rFonts w:hint="eastAsia" w:ascii="仿宋" w:hAnsi="仿宋" w:eastAsia="仿宋" w:cs="仿宋"/>
          <w:sz w:val="32"/>
          <w:szCs w:val="32"/>
        </w:rPr>
      </w:pPr>
      <w:r>
        <w:rPr>
          <w:rFonts w:hint="eastAsia" w:ascii="仿宋" w:hAnsi="仿宋" w:eastAsia="仿宋" w:cs="仿宋"/>
          <w:sz w:val="32"/>
          <w:szCs w:val="32"/>
        </w:rPr>
        <w:br w:type="page"/>
      </w:r>
      <w:r>
        <w:rPr>
          <w:rFonts w:hint="eastAsia" w:ascii="仿宋" w:hAnsi="仿宋" w:eastAsia="仿宋" w:cs="仿宋"/>
          <w:sz w:val="52"/>
          <w:szCs w:val="32"/>
        </w:rPr>
        <w:t>目录</w:t>
      </w:r>
    </w:p>
    <w:p w14:paraId="2D306297">
      <w:pPr>
        <w:pStyle w:val="10"/>
        <w:tabs>
          <w:tab w:val="right" w:leader="dot" w:pos="9070"/>
        </w:tabs>
        <w:rPr>
          <w:rFonts w:hint="eastAsia" w:ascii="仿宋" w:hAnsi="仿宋" w:eastAsia="仿宋" w:cs="仿宋"/>
          <w:b w:val="0"/>
          <w:bCs w:val="0"/>
          <w:sz w:val="32"/>
          <w:szCs w:val="32"/>
        </w:rPr>
      </w:pP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TOC \o "1-1" \h \u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\l _Toc11435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highlight w:val="none"/>
          <w:lang w:eastAsia="zh-CN"/>
        </w:rPr>
        <w:t>绍兴市再生能源发展有限公司</w:t>
      </w:r>
      <w:r>
        <w:rPr>
          <w:rFonts w:hint="default" w:ascii="Times New Roman" w:hAnsi="Times New Roman" w:eastAsia="仿宋" w:cs="Times New Roman"/>
          <w:b w:val="0"/>
          <w:bCs w:val="0"/>
          <w:sz w:val="32"/>
          <w:szCs w:val="32"/>
        </w:rPr>
        <w:tab/>
      </w:r>
      <w:r>
        <w:rPr>
          <w:rFonts w:hint="default" w:ascii="Times New Roman" w:hAnsi="Times New Roman" w:eastAsia="仿宋" w:cs="Times New Roman"/>
          <w:b w:val="0"/>
          <w:bCs w:val="0"/>
          <w:sz w:val="32"/>
          <w:szCs w:val="32"/>
        </w:rPr>
        <w:fldChar w:fldCharType="begin"/>
      </w:r>
      <w:r>
        <w:rPr>
          <w:rFonts w:hint="default" w:ascii="Times New Roman" w:hAnsi="Times New Roman" w:eastAsia="仿宋" w:cs="Times New Roman"/>
          <w:b w:val="0"/>
          <w:bCs w:val="0"/>
          <w:sz w:val="32"/>
          <w:szCs w:val="32"/>
        </w:rPr>
        <w:instrText xml:space="preserve"> PAGEREF _Toc11435 \h </w:instrText>
      </w:r>
      <w:r>
        <w:rPr>
          <w:rFonts w:hint="default" w:ascii="Times New Roman" w:hAnsi="Times New Roman" w:eastAsia="仿宋" w:cs="Times New Roman"/>
          <w:b w:val="0"/>
          <w:bCs w:val="0"/>
          <w:sz w:val="32"/>
          <w:szCs w:val="32"/>
        </w:rPr>
        <w:fldChar w:fldCharType="separate"/>
      </w:r>
      <w:r>
        <w:rPr>
          <w:rFonts w:hint="default" w:ascii="Times New Roman" w:hAnsi="Times New Roman" w:eastAsia="仿宋" w:cs="Times New Roman"/>
          <w:b w:val="0"/>
          <w:bCs w:val="0"/>
          <w:sz w:val="32"/>
          <w:szCs w:val="32"/>
        </w:rPr>
        <w:t>1</w:t>
      </w:r>
      <w:r>
        <w:rPr>
          <w:rFonts w:hint="default" w:ascii="Times New Roman" w:hAnsi="Times New Roman" w:eastAsia="仿宋" w:cs="Times New Roman"/>
          <w:b w:val="0"/>
          <w:bCs w:val="0"/>
          <w:sz w:val="32"/>
          <w:szCs w:val="32"/>
        </w:rPr>
        <w:fldChar w:fldCharType="end"/>
      </w:r>
      <w:r>
        <w:rPr>
          <w:rFonts w:hint="eastAsia" w:ascii="仿宋" w:hAnsi="仿宋" w:eastAsia="仿宋" w:cs="仿宋"/>
          <w:b w:val="0"/>
          <w:bCs w:val="0"/>
          <w:sz w:val="32"/>
          <w:szCs w:val="32"/>
        </w:rPr>
        <w:fldChar w:fldCharType="end"/>
      </w:r>
    </w:p>
    <w:p w14:paraId="58FC6B67">
      <w:pPr>
        <w:pStyle w:val="10"/>
        <w:tabs>
          <w:tab w:val="right" w:leader="dot" w:pos="9070"/>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_Toc18096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第一部分   询价公告</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_Toc18096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3</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003C5814">
      <w:pPr>
        <w:pStyle w:val="10"/>
        <w:tabs>
          <w:tab w:val="right" w:leader="dot" w:pos="9070"/>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_Toc22069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第三部分   询价内容</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_Toc22069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11</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6DC9ABF0">
      <w:pPr>
        <w:pStyle w:val="10"/>
        <w:tabs>
          <w:tab w:val="right" w:leader="dot" w:pos="9070"/>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_Toc29656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第四部分   合同主要条款（供参考）</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_Toc29656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13</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4107FEF7">
      <w:pPr>
        <w:pStyle w:val="10"/>
        <w:tabs>
          <w:tab w:val="right" w:leader="dot" w:pos="9070"/>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_Toc7633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附件：</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_Toc7633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18</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0A032692">
      <w:pPr>
        <w:pStyle w:val="10"/>
        <w:tabs>
          <w:tab w:val="right" w:leader="dot" w:pos="9070"/>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_Toc17193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第</w:t>
      </w:r>
      <w:r>
        <w:rPr>
          <w:rFonts w:hint="eastAsia" w:ascii="Times New Roman" w:hAnsi="Times New Roman" w:eastAsia="仿宋" w:cs="Times New Roman"/>
          <w:b w:val="0"/>
          <w:bCs w:val="0"/>
          <w:sz w:val="32"/>
          <w:szCs w:val="32"/>
          <w:lang w:eastAsia="zh-CN"/>
        </w:rPr>
        <w:t>五</w:t>
      </w:r>
      <w:r>
        <w:rPr>
          <w:rFonts w:hint="eastAsia" w:ascii="Times New Roman" w:hAnsi="Times New Roman" w:eastAsia="仿宋" w:cs="Times New Roman"/>
          <w:b w:val="0"/>
          <w:bCs w:val="0"/>
          <w:sz w:val="32"/>
          <w:szCs w:val="32"/>
        </w:rPr>
        <w:t>部分   报价文件格式</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_Toc17193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21</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3396761F">
      <w:pPr>
        <w:pStyle w:val="10"/>
        <w:tabs>
          <w:tab w:val="right" w:leader="dot" w:pos="9070"/>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_Toc19129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w:t>
      </w:r>
      <w:r>
        <w:rPr>
          <w:rFonts w:hint="eastAsia" w:ascii="Times New Roman" w:hAnsi="Times New Roman" w:eastAsia="仿宋" w:cs="Times New Roman"/>
          <w:b w:val="0"/>
          <w:bCs w:val="0"/>
          <w:sz w:val="32"/>
          <w:szCs w:val="32"/>
          <w:lang w:val="en-US"/>
        </w:rPr>
        <w:t>一：</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_Toc19129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22</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4A9ECAEA">
      <w:pPr>
        <w:pStyle w:val="10"/>
        <w:tabs>
          <w:tab w:val="right" w:leader="dot" w:pos="9070"/>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_Toc2924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w:t>
      </w:r>
      <w:r>
        <w:rPr>
          <w:rFonts w:hint="eastAsia" w:ascii="Times New Roman" w:hAnsi="Times New Roman" w:eastAsia="仿宋" w:cs="Times New Roman"/>
          <w:b w:val="0"/>
          <w:bCs w:val="0"/>
          <w:sz w:val="32"/>
          <w:szCs w:val="32"/>
          <w:lang w:val="en-US"/>
        </w:rPr>
        <w:t>二</w:t>
      </w:r>
      <w:r>
        <w:rPr>
          <w:rFonts w:hint="eastAsia" w:ascii="Times New Roman" w:hAnsi="Times New Roman" w:eastAsia="仿宋" w:cs="Times New Roman"/>
          <w:b w:val="0"/>
          <w:bCs w:val="0"/>
          <w:sz w:val="32"/>
          <w:szCs w:val="32"/>
        </w:rPr>
        <w:t>：</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_Toc2924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24</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53BD8036">
      <w:pPr>
        <w:pStyle w:val="10"/>
        <w:tabs>
          <w:tab w:val="right" w:leader="dot" w:pos="9070"/>
        </w:tabs>
        <w:rPr>
          <w:rFonts w:hint="eastAsia" w:ascii="仿宋" w:hAnsi="仿宋" w:eastAsia="仿宋" w:cs="仿宋"/>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_Toc18587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w:t>
      </w:r>
      <w:r>
        <w:rPr>
          <w:rFonts w:hint="eastAsia" w:ascii="Times New Roman" w:hAnsi="Times New Roman" w:eastAsia="仿宋" w:cs="Times New Roman"/>
          <w:b w:val="0"/>
          <w:bCs w:val="0"/>
          <w:sz w:val="32"/>
          <w:szCs w:val="32"/>
          <w:lang w:val="en-US"/>
        </w:rPr>
        <w:t>三：</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_Toc18587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26</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CB08D88">
      <w:pPr>
        <w:rPr>
          <w:rFonts w:hint="eastAsia" w:ascii="仿宋" w:hAnsi="仿宋" w:eastAsia="仿宋" w:cs="仿宋"/>
          <w:sz w:val="56"/>
          <w:szCs w:val="32"/>
        </w:rPr>
      </w:pPr>
      <w:r>
        <w:rPr>
          <w:rFonts w:hint="eastAsia" w:ascii="仿宋" w:hAnsi="仿宋" w:eastAsia="仿宋" w:cs="仿宋"/>
          <w:b w:val="0"/>
          <w:bCs w:val="0"/>
          <w:sz w:val="32"/>
          <w:szCs w:val="32"/>
        </w:rPr>
        <w:fldChar w:fldCharType="end"/>
      </w:r>
    </w:p>
    <w:p w14:paraId="7D54F6DE">
      <w:pPr>
        <w:rPr>
          <w:rFonts w:hint="eastAsia" w:ascii="仿宋" w:hAnsi="仿宋" w:eastAsia="仿宋" w:cs="仿宋"/>
          <w:sz w:val="36"/>
        </w:rPr>
      </w:pPr>
    </w:p>
    <w:p w14:paraId="624240EE">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530583921"/>
      <w:bookmarkStart w:id="5" w:name="_Toc18096"/>
      <w:bookmarkStart w:id="6" w:name="_Toc530583878"/>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42A9A8C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超滤膜采购项目进行招标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（以下简称“报价人”）积极参与</w:t>
      </w:r>
      <w:r>
        <w:rPr>
          <w:rFonts w:hint="eastAsia" w:ascii="仿宋" w:hAnsi="仿宋" w:eastAsia="仿宋" w:cs="仿宋"/>
          <w:sz w:val="30"/>
          <w:szCs w:val="30"/>
        </w:rPr>
        <w:t>。</w:t>
      </w:r>
    </w:p>
    <w:p w14:paraId="429406BA">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3B61172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SX-CG-CL-2607018  </w:t>
      </w:r>
    </w:p>
    <w:p w14:paraId="4EB00A9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2.采购内容：</w:t>
      </w:r>
    </w:p>
    <w:tbl>
      <w:tblPr>
        <w:tblStyle w:val="13"/>
        <w:tblW w:w="5336" w:type="pct"/>
        <w:jc w:val="center"/>
        <w:tblLayout w:type="fixed"/>
        <w:tblCellMar>
          <w:top w:w="0" w:type="dxa"/>
          <w:left w:w="108" w:type="dxa"/>
          <w:bottom w:w="0" w:type="dxa"/>
          <w:right w:w="108" w:type="dxa"/>
        </w:tblCellMar>
      </w:tblPr>
      <w:tblGrid>
        <w:gridCol w:w="672"/>
        <w:gridCol w:w="1473"/>
        <w:gridCol w:w="2125"/>
        <w:gridCol w:w="801"/>
        <w:gridCol w:w="817"/>
        <w:gridCol w:w="1193"/>
        <w:gridCol w:w="2830"/>
      </w:tblGrid>
      <w:tr w14:paraId="6BFFA18D">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3CDC5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1473" w:type="dxa"/>
            <w:tcBorders>
              <w:top w:val="single" w:color="000000" w:sz="4" w:space="0"/>
              <w:left w:val="single" w:color="000000" w:sz="4" w:space="0"/>
              <w:bottom w:val="single" w:color="000000" w:sz="4" w:space="0"/>
              <w:right w:val="single" w:color="000000" w:sz="4" w:space="0"/>
            </w:tcBorders>
            <w:noWrap/>
            <w:vAlign w:val="center"/>
          </w:tcPr>
          <w:p w14:paraId="2459ED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2715563">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801" w:type="dxa"/>
            <w:tcBorders>
              <w:top w:val="single" w:color="000000" w:sz="4" w:space="0"/>
              <w:left w:val="single" w:color="000000" w:sz="4" w:space="0"/>
              <w:bottom w:val="single" w:color="000000" w:sz="4" w:space="0"/>
              <w:right w:val="single" w:color="000000" w:sz="4" w:space="0"/>
            </w:tcBorders>
            <w:noWrap/>
            <w:vAlign w:val="center"/>
          </w:tcPr>
          <w:p w14:paraId="575E00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6DB693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193" w:type="dxa"/>
            <w:tcBorders>
              <w:top w:val="single" w:color="000000" w:sz="4" w:space="0"/>
              <w:left w:val="single" w:color="000000" w:sz="4" w:space="0"/>
              <w:bottom w:val="single" w:color="000000" w:sz="4" w:space="0"/>
              <w:right w:val="single" w:color="000000" w:sz="4" w:space="0"/>
            </w:tcBorders>
            <w:noWrap/>
            <w:vAlign w:val="center"/>
          </w:tcPr>
          <w:p w14:paraId="404BCE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2830" w:type="dxa"/>
            <w:tcBorders>
              <w:top w:val="single" w:color="000000" w:sz="4" w:space="0"/>
              <w:left w:val="single" w:color="000000" w:sz="4" w:space="0"/>
              <w:bottom w:val="single" w:color="000000" w:sz="4" w:space="0"/>
              <w:right w:val="single" w:color="000000" w:sz="4" w:space="0"/>
            </w:tcBorders>
            <w:noWrap/>
            <w:vAlign w:val="center"/>
          </w:tcPr>
          <w:p w14:paraId="2B93C5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r>
      <w:tr w14:paraId="65F310F1">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0CA46A6">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24935F0C">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超滤膜</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FF36E6C">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M083G 66.0318V</w:t>
            </w:r>
          </w:p>
        </w:tc>
        <w:tc>
          <w:tcPr>
            <w:tcW w:w="801" w:type="dxa"/>
            <w:tcBorders>
              <w:top w:val="single" w:color="000000" w:sz="4" w:space="0"/>
              <w:left w:val="single" w:color="000000" w:sz="4" w:space="0"/>
              <w:bottom w:val="single" w:color="000000" w:sz="4" w:space="0"/>
              <w:right w:val="single" w:color="000000" w:sz="4" w:space="0"/>
            </w:tcBorders>
            <w:noWrap w:val="0"/>
            <w:vAlign w:val="center"/>
          </w:tcPr>
          <w:p w14:paraId="257DB3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5</w:t>
            </w:r>
            <w:r>
              <w:rPr>
                <w:rFonts w:hint="default" w:ascii="仿宋" w:hAnsi="仿宋" w:eastAsia="仿宋" w:cs="仿宋"/>
                <w:i w:val="0"/>
                <w:iCs w:val="0"/>
                <w:strike w:val="0"/>
                <w:dstrike w:val="0"/>
                <w:color w:val="000000"/>
                <w:kern w:val="0"/>
                <w:sz w:val="24"/>
                <w:szCs w:val="24"/>
                <w:highlight w:val="none"/>
                <w:u w:val="none"/>
                <w:lang w:val="en-US" w:eastAsia="zh-CN" w:bidi="ar"/>
              </w:rPr>
              <w:t xml:space="preserve"> </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30ACE7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00ED6889">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BERGHOF</w:t>
            </w:r>
          </w:p>
        </w:tc>
        <w:tc>
          <w:tcPr>
            <w:tcW w:w="2830" w:type="dxa"/>
            <w:tcBorders>
              <w:top w:val="single" w:color="000000" w:sz="4" w:space="0"/>
              <w:left w:val="single" w:color="000000" w:sz="4" w:space="0"/>
              <w:bottom w:val="single" w:color="000000" w:sz="4" w:space="0"/>
              <w:right w:val="single" w:color="000000" w:sz="4" w:space="0"/>
            </w:tcBorders>
            <w:noWrap w:val="0"/>
            <w:vAlign w:val="center"/>
          </w:tcPr>
          <w:p w14:paraId="298FDD85">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质保2年，质保期内保证药洗后产水不低于15方，循环量不低于220方</w:t>
            </w:r>
          </w:p>
        </w:tc>
      </w:tr>
    </w:tbl>
    <w:p w14:paraId="47E30BEA">
      <w:pPr>
        <w:pStyle w:val="2"/>
        <w:snapToGrid/>
        <w:spacing w:line="360" w:lineRule="auto"/>
        <w:ind w:left="0" w:leftChars="0" w:firstLine="0" w:firstLineChars="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 xml:space="preserve"> </w:t>
      </w:r>
    </w:p>
    <w:p w14:paraId="0D80D439">
      <w:pPr>
        <w:pStyle w:val="2"/>
        <w:numPr>
          <w:ilvl w:val="0"/>
          <w:numId w:val="0"/>
        </w:numPr>
        <w:snapToGrid/>
        <w:spacing w:line="360" w:lineRule="auto"/>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3.技术要求：保证所供产品均为原厂原装、全新未使用的合格正品，且交付时均处于产品规定的有效使用期。产品质量与技术指标符合国家标准、行业规范及采购人要求（以较严格者为准），并提供出厂检验报告、合格证等完整资料；供货周期须满足采购人实际使用需求。</w:t>
      </w:r>
    </w:p>
    <w:p w14:paraId="726C6CF1">
      <w:pPr>
        <w:pStyle w:val="2"/>
        <w:numPr>
          <w:ilvl w:val="0"/>
          <w:numId w:val="0"/>
        </w:numPr>
        <w:snapToGrid/>
        <w:spacing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本项目采购总金额限价为</w:t>
      </w:r>
      <w:r>
        <w:rPr>
          <w:rFonts w:hint="eastAsia" w:ascii="仿宋" w:hAnsi="仿宋" w:eastAsia="仿宋" w:cs="仿宋"/>
          <w:sz w:val="30"/>
          <w:szCs w:val="30"/>
          <w:highlight w:val="none"/>
          <w:lang w:eastAsia="zh-CN"/>
        </w:rPr>
        <w:t>人民币21.8</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p>
    <w:p w14:paraId="7BFF74C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highlight w:val="none"/>
          <w:lang w:eastAsia="zh-CN"/>
        </w:rPr>
      </w:pPr>
      <w:r>
        <w:rPr>
          <w:rFonts w:hint="eastAsia" w:ascii="仿宋_GB2312" w:eastAsia="仿宋_GB2312"/>
          <w:b/>
          <w:bCs/>
          <w:sz w:val="30"/>
          <w:szCs w:val="30"/>
          <w:highlight w:val="none"/>
          <w:lang w:eastAsia="zh-CN"/>
        </w:rPr>
        <w:t>二、报价人要求。</w:t>
      </w:r>
    </w:p>
    <w:p w14:paraId="3A28D20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1.报价人必须是在中华人民共和国境内注册，具有独立法人资格和独立承担民事责任的能力；投标人经营范围须包含相关的销售资质。</w:t>
      </w:r>
    </w:p>
    <w:p w14:paraId="2DFB282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23F826D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50BB5A97">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w:t>
      </w:r>
    </w:p>
    <w:p w14:paraId="60780F04">
      <w:pPr>
        <w:pStyle w:val="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5.本项目内容不允许分包。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bookmarkStart w:id="7" w:name="_Toc530583879"/>
      <w:bookmarkStart w:id="8" w:name="_Toc530583922"/>
      <w:bookmarkStart w:id="9" w:name="_Toc530583880"/>
      <w:bookmarkStart w:id="10" w:name="_Toc530583923"/>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eastAsia="zh-CN"/>
        </w:rPr>
        <w:t>开标</w:t>
      </w:r>
      <w:r>
        <w:rPr>
          <w:rFonts w:hint="eastAsia" w:ascii="仿宋_GB2312" w:eastAsia="仿宋_GB2312"/>
          <w:sz w:val="30"/>
          <w:szCs w:val="30"/>
        </w:rPr>
        <w:t>时间：202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8月20</w:t>
      </w:r>
      <w:r>
        <w:rPr>
          <w:rFonts w:hint="eastAsia" w:ascii="仿宋_GB2312" w:eastAsia="仿宋_GB2312"/>
          <w:sz w:val="30"/>
          <w:szCs w:val="30"/>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3FF4D8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b/>
          <w:bCs/>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方式，报价人需在开标时间前将报价文件递交至绍兴市再生能源发展有限公司综合楼一楼投标箱。报价人可</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_GB2312" w:eastAsia="仿宋_GB2312"/>
          <w:sz w:val="30"/>
          <w:szCs w:val="30"/>
          <w:lang w:eastAsia="zh-CN"/>
        </w:rPr>
        <w:t>，也可以通过邮寄（快递）递交报价文件，</w:t>
      </w:r>
      <w:r>
        <w:rPr>
          <w:rFonts w:hint="eastAsia" w:ascii="仿宋" w:hAnsi="仿宋" w:eastAsia="仿宋" w:cs="仿宋"/>
          <w:color w:val="auto"/>
          <w:sz w:val="30"/>
          <w:szCs w:val="30"/>
          <w:highlight w:val="none"/>
          <w:lang w:eastAsia="zh-CN"/>
        </w:rPr>
        <w:t>报价人在报价文件寄出后，应将邮寄信息及时反馈给采购人收件人。</w:t>
      </w:r>
    </w:p>
    <w:p w14:paraId="2F8A847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邮寄地址：</w:t>
      </w:r>
      <w:r>
        <w:rPr>
          <w:rFonts w:hint="eastAsia" w:ascii="仿宋_GB2312" w:eastAsia="仿宋_GB2312"/>
          <w:sz w:val="30"/>
          <w:szCs w:val="30"/>
          <w:lang w:eastAsia="zh-CN"/>
        </w:rPr>
        <w:t>浙江省绍兴市柯桥区钱滨线二线海塘绍兴市再生能源发展有限公司</w:t>
      </w:r>
      <w:r>
        <w:rPr>
          <w:rFonts w:hint="eastAsia" w:ascii="仿宋_GB2312" w:eastAsia="仿宋_GB2312"/>
          <w:sz w:val="30"/>
          <w:szCs w:val="30"/>
        </w:rPr>
        <w:t>  </w:t>
      </w:r>
      <w:r>
        <w:rPr>
          <w:rFonts w:hint="eastAsia" w:ascii="仿宋_GB2312" w:eastAsia="仿宋_GB2312"/>
          <w:sz w:val="30"/>
          <w:szCs w:val="30"/>
          <w:lang w:eastAsia="zh-CN"/>
        </w:rPr>
        <w:t xml:space="preserve"> 采购供应部 </w:t>
      </w:r>
      <w:r>
        <w:rPr>
          <w:rFonts w:hint="eastAsia" w:ascii="仿宋_GB2312" w:eastAsia="仿宋_GB2312"/>
          <w:sz w:val="30"/>
          <w:szCs w:val="30"/>
          <w:lang w:val="en-US" w:eastAsia="zh-CN"/>
        </w:rPr>
        <w:t>0575-85791916</w:t>
      </w:r>
    </w:p>
    <w:p w14:paraId="28DF5BA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报价文件邮寄封装要求：</w:t>
      </w:r>
      <w:r>
        <w:rPr>
          <w:rFonts w:hint="eastAsia" w:ascii="仿宋_GB2312" w:eastAsia="仿宋_GB2312"/>
          <w:sz w:val="30"/>
          <w:szCs w:val="30"/>
          <w:lang w:eastAsia="zh-CN"/>
        </w:rPr>
        <w:t>报价人</w:t>
      </w:r>
      <w:r>
        <w:rPr>
          <w:rFonts w:hint="eastAsia" w:ascii="仿宋_GB2312" w:eastAsia="仿宋_GB2312"/>
          <w:sz w:val="30"/>
          <w:szCs w:val="30"/>
        </w:rPr>
        <w:t>除按照文件要求封装报价文件外，还需在快递外包装上醒目注明项目名称、</w:t>
      </w:r>
      <w:r>
        <w:rPr>
          <w:rFonts w:hint="eastAsia" w:ascii="仿宋_GB2312" w:eastAsia="仿宋_GB2312"/>
          <w:sz w:val="30"/>
          <w:szCs w:val="30"/>
          <w:lang w:eastAsia="zh-CN"/>
        </w:rPr>
        <w:t>询价</w:t>
      </w:r>
      <w:r>
        <w:rPr>
          <w:rFonts w:hint="eastAsia" w:ascii="仿宋_GB2312" w:eastAsia="仿宋_GB2312"/>
          <w:sz w:val="30"/>
          <w:szCs w:val="30"/>
        </w:rPr>
        <w:t>编号，且注明报价人联系人、联系人电话；快递包装务必牢固可靠，因包装原因出现影响</w:t>
      </w:r>
      <w:r>
        <w:rPr>
          <w:rFonts w:hint="eastAsia" w:ascii="仿宋_GB2312" w:eastAsia="仿宋_GB2312"/>
          <w:sz w:val="30"/>
          <w:szCs w:val="30"/>
          <w:lang w:val="en-US" w:eastAsia="zh-CN"/>
        </w:rPr>
        <w:t>报价</w:t>
      </w:r>
      <w:r>
        <w:rPr>
          <w:rFonts w:hint="eastAsia" w:ascii="仿宋_GB2312" w:eastAsia="仿宋_GB2312"/>
          <w:sz w:val="30"/>
          <w:szCs w:val="30"/>
        </w:rPr>
        <w:t>文件完整性、密封性等后果由</w:t>
      </w:r>
      <w:r>
        <w:rPr>
          <w:rFonts w:hint="eastAsia" w:ascii="仿宋_GB2312" w:eastAsia="仿宋_GB2312"/>
          <w:sz w:val="30"/>
          <w:szCs w:val="30"/>
          <w:lang w:eastAsia="zh-CN"/>
        </w:rPr>
        <w:t>报价人</w:t>
      </w:r>
      <w:r>
        <w:rPr>
          <w:rFonts w:hint="eastAsia" w:ascii="仿宋_GB2312" w:eastAsia="仿宋_GB2312"/>
          <w:sz w:val="30"/>
          <w:szCs w:val="30"/>
        </w:rPr>
        <w:t>自行负责。</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4</w:t>
      </w:r>
      <w:r>
        <w:rPr>
          <w:rFonts w:hint="eastAsia" w:ascii="仿宋_GB2312" w:eastAsia="仿宋_GB2312"/>
          <w:sz w:val="30"/>
          <w:szCs w:val="30"/>
          <w:lang w:eastAsia="zh-CN"/>
        </w:rPr>
        <w:t>）</w:t>
      </w:r>
      <w:r>
        <w:rPr>
          <w:rFonts w:hint="eastAsia" w:ascii="仿宋_GB2312" w:eastAsia="仿宋_GB2312"/>
          <w:sz w:val="30"/>
          <w:szCs w:val="30"/>
        </w:rPr>
        <w:t>报价文件邮递递交截止时间：截至202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w:t>
      </w:r>
      <w:r>
        <w:rPr>
          <w:rFonts w:hint="eastAsia" w:ascii="仿宋_GB2312" w:eastAsia="仿宋_GB2312"/>
          <w:sz w:val="30"/>
          <w:szCs w:val="30"/>
        </w:rPr>
        <w:t>月</w:t>
      </w:r>
      <w:r>
        <w:rPr>
          <w:rFonts w:hint="eastAsia" w:ascii="仿宋_GB2312" w:eastAsia="仿宋_GB2312"/>
          <w:sz w:val="30"/>
          <w:szCs w:val="30"/>
          <w:lang w:val="en-US" w:eastAsia="zh-CN"/>
        </w:rPr>
        <w:t>19</w:t>
      </w:r>
      <w:r>
        <w:rPr>
          <w:rFonts w:hint="eastAsia" w:ascii="仿宋_GB2312" w:eastAsia="仿宋_GB2312"/>
          <w:sz w:val="30"/>
          <w:szCs w:val="30"/>
        </w:rPr>
        <w:t>日，以邮寄签收时间为准，因邮寄原因导致报价文件不能如期送达等风险由</w:t>
      </w:r>
      <w:r>
        <w:rPr>
          <w:rFonts w:hint="eastAsia" w:ascii="仿宋_GB2312" w:eastAsia="仿宋_GB2312"/>
          <w:sz w:val="30"/>
          <w:szCs w:val="30"/>
          <w:lang w:eastAsia="zh-CN"/>
        </w:rPr>
        <w:t>报价人</w:t>
      </w:r>
      <w:r>
        <w:rPr>
          <w:rFonts w:hint="eastAsia" w:ascii="仿宋_GB2312" w:eastAsia="仿宋_GB2312"/>
          <w:sz w:val="30"/>
          <w:szCs w:val="30"/>
        </w:rPr>
        <w:t>自行承担。</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10380F46">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rPr>
      </w:pPr>
      <w:r>
        <w:rPr>
          <w:rFonts w:hint="eastAsia" w:ascii="仿宋_GB2312" w:eastAsia="仿宋_GB2312"/>
          <w:sz w:val="30"/>
          <w:szCs w:val="30"/>
          <w:lang w:val="en-US" w:eastAsia="zh-CN"/>
        </w:rPr>
        <w:t>2026</w:t>
      </w:r>
      <w:r>
        <w:rPr>
          <w:rFonts w:hint="default" w:ascii="仿宋_GB2312" w:eastAsia="仿宋_GB2312"/>
          <w:sz w:val="30"/>
          <w:szCs w:val="30"/>
          <w:lang w:val="en-US"/>
        </w:rPr>
        <w:t>年</w:t>
      </w:r>
      <w:r>
        <w:rPr>
          <w:rFonts w:hint="eastAsia" w:ascii="仿宋_GB2312" w:eastAsia="仿宋_GB2312"/>
          <w:sz w:val="30"/>
          <w:szCs w:val="30"/>
          <w:lang w:val="en-US" w:eastAsia="zh-CN"/>
        </w:rPr>
        <w:t>8月14</w:t>
      </w:r>
      <w:r>
        <w:rPr>
          <w:rFonts w:hint="eastAsia" w:ascii="仿宋_GB2312" w:eastAsia="仿宋_GB2312"/>
          <w:sz w:val="30"/>
          <w:szCs w:val="30"/>
        </w:rPr>
        <w:t>日</w:t>
      </w:r>
    </w:p>
    <w:p w14:paraId="10E9B901">
      <w:pPr>
        <w:pStyle w:val="2"/>
        <w:rPr>
          <w:rFonts w:hint="eastAsia" w:ascii="仿宋_GB2312" w:eastAsia="仿宋_GB2312"/>
          <w:sz w:val="30"/>
          <w:szCs w:val="30"/>
        </w:rPr>
      </w:pPr>
    </w:p>
    <w:p w14:paraId="3A86D49D">
      <w:pPr>
        <w:pStyle w:val="2"/>
        <w:rPr>
          <w:rFonts w:hint="eastAsia" w:ascii="仿宋_GB2312" w:eastAsia="仿宋_GB2312"/>
          <w:sz w:val="30"/>
          <w:szCs w:val="30"/>
        </w:rPr>
      </w:pPr>
    </w:p>
    <w:p w14:paraId="4EFDF728">
      <w:pPr>
        <w:pStyle w:val="2"/>
        <w:rPr>
          <w:rFonts w:hint="eastAsia" w:ascii="仿宋_GB2312" w:eastAsia="仿宋_GB2312"/>
          <w:sz w:val="30"/>
          <w:szCs w:val="30"/>
        </w:rPr>
      </w:pPr>
    </w:p>
    <w:p w14:paraId="41CF67AE">
      <w:pPr>
        <w:pStyle w:val="2"/>
        <w:rPr>
          <w:rFonts w:hint="eastAsia" w:ascii="仿宋_GB2312" w:eastAsia="仿宋_GB2312"/>
          <w:sz w:val="30"/>
          <w:szCs w:val="30"/>
        </w:rPr>
      </w:pPr>
    </w:p>
    <w:p w14:paraId="1B8DEF0A">
      <w:pPr>
        <w:pStyle w:val="2"/>
        <w:rPr>
          <w:rFonts w:hint="eastAsia" w:ascii="仿宋_GB2312" w:eastAsia="仿宋_GB2312"/>
          <w:sz w:val="30"/>
          <w:szCs w:val="30"/>
        </w:rPr>
      </w:pPr>
    </w:p>
    <w:p w14:paraId="2CCD9DA2">
      <w:pPr>
        <w:pStyle w:val="2"/>
        <w:rPr>
          <w:rFonts w:hint="eastAsia" w:ascii="仿宋_GB2312" w:eastAsia="仿宋_GB2312"/>
          <w:sz w:val="30"/>
          <w:szCs w:val="30"/>
        </w:rPr>
      </w:pPr>
    </w:p>
    <w:p w14:paraId="7E7052C1">
      <w:pPr>
        <w:pStyle w:val="2"/>
        <w:rPr>
          <w:rFonts w:hint="eastAsia" w:ascii="仿宋_GB2312" w:eastAsia="仿宋_GB2312"/>
          <w:sz w:val="30"/>
          <w:szCs w:val="30"/>
        </w:rPr>
      </w:pPr>
    </w:p>
    <w:p w14:paraId="6BD300D3">
      <w:pPr>
        <w:pStyle w:val="2"/>
        <w:ind w:left="0" w:leftChars="0" w:firstLine="0" w:firstLineChars="0"/>
        <w:rPr>
          <w:rFonts w:hint="eastAsia" w:ascii="仿宋_GB2312" w:eastAsia="仿宋_GB2312"/>
          <w:sz w:val="30"/>
          <w:szCs w:val="30"/>
        </w:rPr>
      </w:pPr>
    </w:p>
    <w:p w14:paraId="758970A0">
      <w:pPr>
        <w:keepNext w:val="0"/>
        <w:keepLines w:val="0"/>
        <w:pageBreakBefore w:val="0"/>
        <w:widowControl w:val="0"/>
        <w:kinsoku/>
        <w:wordWrap/>
        <w:overflowPunct/>
        <w:topLinePunct w:val="0"/>
        <w:autoSpaceDE/>
        <w:autoSpaceDN/>
        <w:bidi w:val="0"/>
        <w:adjustRightInd/>
        <w:snapToGrid w:val="0"/>
        <w:spacing w:line="360" w:lineRule="auto"/>
        <w:ind w:firstLine="585"/>
        <w:jc w:val="center"/>
        <w:textAlignment w:val="auto"/>
        <w:rPr>
          <w:rFonts w:ascii="仿宋_GB2312" w:eastAsia="仿宋_GB2312"/>
          <w:snapToGrid w:val="0"/>
          <w:sz w:val="30"/>
          <w:szCs w:val="30"/>
        </w:rPr>
      </w:pPr>
      <w:r>
        <w:rPr>
          <w:rFonts w:hint="eastAsia" w:ascii="仿宋" w:hAnsi="仿宋" w:eastAsia="仿宋" w:cs="仿宋"/>
          <w:b/>
          <w:snapToGrid w:val="0"/>
          <w:color w:val="000000"/>
          <w:kern w:val="44"/>
          <w:sz w:val="44"/>
          <w:szCs w:val="44"/>
          <w:lang w:val="en-US" w:eastAsia="zh-CN" w:bidi="ar-SA"/>
        </w:rPr>
        <w:t>第二部分   采购须知</w:t>
      </w:r>
      <w:bookmarkEnd w:id="7"/>
      <w:bookmarkEnd w:id="8"/>
    </w:p>
    <w:p w14:paraId="5DF30CDF">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43837104">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20D0069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4007F91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2BE745B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53DF06A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w:t>
      </w:r>
      <w:bookmarkStart w:id="30" w:name="_GoBack"/>
      <w:bookmarkEnd w:id="30"/>
      <w:r>
        <w:rPr>
          <w:rFonts w:hint="eastAsia" w:ascii="仿宋_GB2312" w:hAnsi="宋体" w:eastAsia="仿宋_GB2312"/>
          <w:sz w:val="30"/>
          <w:szCs w:val="30"/>
        </w:rPr>
        <w:t>指按询价文件要求的货物和服务。</w:t>
      </w:r>
    </w:p>
    <w:p w14:paraId="4083C06F">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（四）“供货方”系指向经评审确定为本次询价成交商家</w:t>
      </w:r>
    </w:p>
    <w:p w14:paraId="764FA82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120E9D1B">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4212F15E">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79BDD39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538DA94">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2E17C05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46EEF3F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75AC62A6">
      <w:pPr>
        <w:pageBreakBefore w:val="0"/>
        <w:kinsoku/>
        <w:wordWrap/>
        <w:topLinePunct w:val="0"/>
        <w:bidi w:val="0"/>
        <w:snapToGrid w:val="0"/>
        <w:spacing w:line="360" w:lineRule="auto"/>
        <w:ind w:right="-176" w:rightChars="-84" w:firstLine="600"/>
        <w:outlineLvl w:val="1"/>
        <w:rPr>
          <w:rFonts w:hint="eastAsia" w:ascii="仿宋_GB2312" w:hAnsi="宋体" w:eastAsia="仿宋_GB2312"/>
          <w:sz w:val="30"/>
          <w:szCs w:val="30"/>
        </w:rPr>
      </w:pPr>
      <w:r>
        <w:rPr>
          <w:rFonts w:hint="eastAsia" w:ascii="仿宋_GB2312" w:eastAsia="仿宋_GB2312"/>
          <w:b/>
          <w:bCs/>
          <w:sz w:val="30"/>
          <w:szCs w:val="30"/>
        </w:rPr>
        <w:t>五、报价文件的组成。</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eastAsia" w:ascii="仿宋_GB2312" w:hAnsi="宋体" w:eastAsia="仿宋_GB2312"/>
          <w:sz w:val="30"/>
          <w:szCs w:val="30"/>
          <w:lang w:val="en-US" w:eastAsia="zh-CN"/>
        </w:rPr>
        <w:t>1.</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lang w:val="en-US" w:eastAsia="zh-CN"/>
        </w:rPr>
        <w:t>2</w:t>
      </w:r>
      <w:r>
        <w:rPr>
          <w:rFonts w:hint="eastAsia" w:ascii="仿宋_GB2312" w:hAnsi="宋体" w:eastAsia="仿宋_GB2312"/>
          <w:sz w:val="30"/>
          <w:szCs w:val="30"/>
        </w:rPr>
        <w:t>.报价一览表（附件</w:t>
      </w:r>
      <w:r>
        <w:rPr>
          <w:rFonts w:hint="eastAsia" w:ascii="仿宋_GB2312" w:hAnsi="宋体" w:eastAsia="仿宋_GB2312"/>
          <w:sz w:val="30"/>
          <w:szCs w:val="30"/>
          <w:lang w:val="en-US" w:eastAsia="zh-CN"/>
        </w:rPr>
        <w:t>一</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eastAsia" w:ascii="仿宋_GB2312" w:hAnsi="宋体" w:eastAsia="仿宋_GB2312"/>
          <w:sz w:val="30"/>
          <w:szCs w:val="30"/>
          <w:lang w:val="en-US" w:eastAsia="zh-CN"/>
        </w:rPr>
        <w:t>3</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三</w:t>
      </w:r>
      <w:r>
        <w:rPr>
          <w:rFonts w:hint="eastAsia" w:ascii="仿宋_GB2312" w:hAnsi="宋体" w:eastAsia="仿宋_GB2312"/>
          <w:sz w:val="30"/>
          <w:szCs w:val="30"/>
        </w:rPr>
        <w:t>）；</w:t>
      </w:r>
    </w:p>
    <w:p w14:paraId="12B87EAC">
      <w:pPr>
        <w:pageBreakBefore w:val="0"/>
        <w:kinsoku/>
        <w:wordWrap/>
        <w:topLinePunct w:val="0"/>
        <w:bidi w:val="0"/>
        <w:snapToGrid w:val="0"/>
        <w:spacing w:line="360" w:lineRule="auto"/>
        <w:ind w:firstLine="600" w:firstLineChars="200"/>
        <w:rPr>
          <w:rFonts w:hint="default" w:ascii="仿宋_GB2312" w:hAnsi="宋体" w:eastAsia="仿宋_GB2312"/>
          <w:b/>
          <w:bCs/>
          <w:color w:val="FF0000"/>
          <w:sz w:val="30"/>
          <w:szCs w:val="30"/>
          <w:lang w:eastAsia="zh-CN"/>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p>
    <w:p w14:paraId="1795959B">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44552339">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C725121">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180F98EB">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4D53D4E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0C872476">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5F467F6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3AB0841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4F980A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58405848">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7952F743">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0EAA2AE1">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327EDD2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3D6E035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31661636">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0EE49715">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22F7029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18A6B925">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1CC95567">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E895EF2">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8BE4334">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140DA1A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18E1B25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0199C01A">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0EDC6C4">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1C36D9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16687E2F">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6A6C15B8">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电话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4ED82A19">
      <w:pPr>
        <w:pStyle w:val="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3678CC37">
      <w:pPr>
        <w:pStyle w:val="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需在接到采购人电话通知后30分钟内将盖章后的二次报价文件电子版发至邮箱dzw@sxszsny.com。若超过30分钟采购人未收到准确有效的二次报价文件，则默认报价人保持原价。二次报价文件内容参照附件“二次报价一览表”。</w:t>
      </w:r>
    </w:p>
    <w:p w14:paraId="173ABC32">
      <w:pPr>
        <w:pageBreakBefore w:val="0"/>
        <w:kinsoku/>
        <w:wordWrap/>
        <w:topLinePunct w:val="0"/>
        <w:bidi w:val="0"/>
        <w:snapToGrid w:val="0"/>
        <w:spacing w:line="360" w:lineRule="auto"/>
        <w:ind w:left="974" w:leftChars="64" w:hanging="840" w:hangingChars="280"/>
        <w:jc w:val="left"/>
        <w:rPr>
          <w:rFonts w:ascii="仿宋_GB2312" w:eastAsia="仿宋_GB2312"/>
          <w:color w:val="FF0000"/>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3C6B639F">
      <w:pPr>
        <w:pStyle w:val="19"/>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FFD1E09">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405C3781">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0C9676D1">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4074EFDB">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5591EA2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20EFCCD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45B2CF7C">
      <w:pPr>
        <w:pStyle w:val="4"/>
        <w:numPr>
          <w:ilvl w:val="0"/>
          <w:numId w:val="0"/>
        </w:numPr>
        <w:jc w:val="center"/>
        <w:outlineLvl w:val="9"/>
        <w:rPr>
          <w:rFonts w:hint="eastAsia" w:ascii="仿宋" w:hAnsi="仿宋" w:eastAsia="仿宋" w:cs="仿宋"/>
          <w:snapToGrid w:val="0"/>
          <w:sz w:val="44"/>
          <w:szCs w:val="44"/>
        </w:rPr>
      </w:pPr>
    </w:p>
    <w:p w14:paraId="5CB04477">
      <w:pPr>
        <w:rPr>
          <w:rFonts w:hint="eastAsia" w:ascii="仿宋" w:hAnsi="仿宋" w:eastAsia="仿宋" w:cs="仿宋"/>
          <w:snapToGrid w:val="0"/>
          <w:sz w:val="44"/>
          <w:szCs w:val="44"/>
        </w:rPr>
      </w:pPr>
    </w:p>
    <w:p w14:paraId="13A683CE">
      <w:pPr>
        <w:pStyle w:val="6"/>
        <w:rPr>
          <w:rFonts w:hint="eastAsia" w:ascii="仿宋" w:hAnsi="仿宋" w:eastAsia="仿宋" w:cs="仿宋"/>
          <w:snapToGrid w:val="0"/>
          <w:sz w:val="44"/>
          <w:szCs w:val="44"/>
        </w:rPr>
      </w:pPr>
    </w:p>
    <w:p w14:paraId="1643322B">
      <w:pPr>
        <w:pStyle w:val="12"/>
        <w:rPr>
          <w:rFonts w:hint="eastAsia" w:ascii="仿宋" w:hAnsi="仿宋" w:eastAsia="仿宋" w:cs="仿宋"/>
          <w:snapToGrid w:val="0"/>
          <w:sz w:val="44"/>
          <w:szCs w:val="44"/>
        </w:rPr>
      </w:pPr>
    </w:p>
    <w:p w14:paraId="6F7B1054">
      <w:pPr>
        <w:rPr>
          <w:rFonts w:hint="eastAsia" w:ascii="仿宋" w:hAnsi="仿宋" w:eastAsia="仿宋" w:cs="仿宋"/>
          <w:snapToGrid w:val="0"/>
          <w:sz w:val="44"/>
          <w:szCs w:val="44"/>
        </w:rPr>
      </w:pPr>
    </w:p>
    <w:p w14:paraId="070A749E">
      <w:pPr>
        <w:rPr>
          <w:rFonts w:hint="eastAsia" w:ascii="仿宋" w:hAnsi="仿宋" w:eastAsia="仿宋" w:cs="仿宋"/>
          <w:snapToGrid w:val="0"/>
          <w:sz w:val="44"/>
          <w:szCs w:val="44"/>
        </w:rPr>
      </w:pPr>
    </w:p>
    <w:p w14:paraId="7DEBCF3A">
      <w:pPr>
        <w:rPr>
          <w:rFonts w:hint="eastAsia" w:ascii="仿宋" w:hAnsi="仿宋" w:eastAsia="仿宋" w:cs="仿宋"/>
          <w:snapToGrid w:val="0"/>
          <w:sz w:val="44"/>
          <w:szCs w:val="44"/>
        </w:rPr>
      </w:pPr>
    </w:p>
    <w:p w14:paraId="74901F0A">
      <w:pPr>
        <w:rPr>
          <w:rFonts w:hint="eastAsia" w:ascii="仿宋" w:hAnsi="仿宋" w:eastAsia="仿宋" w:cs="仿宋"/>
          <w:snapToGrid w:val="0"/>
          <w:sz w:val="44"/>
          <w:szCs w:val="44"/>
        </w:rPr>
      </w:pPr>
    </w:p>
    <w:p w14:paraId="711401CF">
      <w:pPr>
        <w:rPr>
          <w:rFonts w:hint="eastAsia" w:ascii="仿宋" w:hAnsi="仿宋" w:eastAsia="仿宋" w:cs="仿宋"/>
          <w:snapToGrid w:val="0"/>
          <w:sz w:val="44"/>
          <w:szCs w:val="44"/>
        </w:rPr>
      </w:pPr>
    </w:p>
    <w:p w14:paraId="6489D0A7">
      <w:pPr>
        <w:rPr>
          <w:rFonts w:hint="eastAsia" w:ascii="仿宋" w:hAnsi="仿宋" w:eastAsia="仿宋" w:cs="仿宋"/>
          <w:snapToGrid w:val="0"/>
          <w:sz w:val="44"/>
          <w:szCs w:val="44"/>
        </w:rPr>
      </w:pPr>
    </w:p>
    <w:p w14:paraId="442412A4">
      <w:pPr>
        <w:rPr>
          <w:rFonts w:hint="eastAsia" w:ascii="仿宋" w:hAnsi="仿宋" w:eastAsia="仿宋" w:cs="仿宋"/>
          <w:snapToGrid w:val="0"/>
          <w:sz w:val="44"/>
          <w:szCs w:val="44"/>
        </w:rPr>
      </w:pPr>
    </w:p>
    <w:p w14:paraId="3B113E72">
      <w:pPr>
        <w:pStyle w:val="4"/>
        <w:numPr>
          <w:ilvl w:val="0"/>
          <w:numId w:val="0"/>
        </w:numPr>
        <w:jc w:val="center"/>
        <w:rPr>
          <w:rFonts w:hint="eastAsia" w:ascii="仿宋" w:hAnsi="仿宋" w:eastAsia="仿宋" w:cs="仿宋"/>
          <w:b w:val="0"/>
          <w:bCs/>
          <w:snapToGrid w:val="0"/>
          <w:sz w:val="44"/>
        </w:rPr>
      </w:pPr>
      <w:bookmarkStart w:id="11" w:name="_Toc22069"/>
      <w:r>
        <w:rPr>
          <w:rFonts w:hint="eastAsia" w:ascii="仿宋" w:hAnsi="仿宋" w:eastAsia="仿宋" w:cs="仿宋"/>
          <w:snapToGrid w:val="0"/>
          <w:sz w:val="44"/>
          <w:szCs w:val="44"/>
        </w:rPr>
        <w:t>第三部分   询价内容</w:t>
      </w:r>
      <w:bookmarkEnd w:id="9"/>
      <w:bookmarkEnd w:id="10"/>
      <w:bookmarkEnd w:id="11"/>
    </w:p>
    <w:p w14:paraId="20F783B5">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256C070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lang w:eastAsia="zh-CN"/>
        </w:rPr>
      </w:pPr>
      <w:r>
        <w:rPr>
          <w:rFonts w:hint="eastAsia" w:ascii="仿宋" w:hAnsi="仿宋" w:eastAsia="仿宋" w:cs="仿宋"/>
          <w:color w:val="auto"/>
          <w:kern w:val="2"/>
          <w:sz w:val="30"/>
          <w:szCs w:val="30"/>
          <w:lang w:val="en-US" w:eastAsia="zh-CN"/>
        </w:rPr>
        <w:t>详见报价清单</w:t>
      </w:r>
    </w:p>
    <w:p w14:paraId="0F473F03">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w:t>
      </w:r>
      <w:r>
        <w:rPr>
          <w:rFonts w:hint="eastAsia" w:ascii="仿宋" w:hAnsi="仿宋" w:eastAsia="仿宋" w:cs="仿宋"/>
          <w:color w:val="auto"/>
          <w:kern w:val="2"/>
          <w:sz w:val="30"/>
          <w:szCs w:val="30"/>
          <w:highlight w:val="none"/>
        </w:rPr>
        <w:t>供货方式</w:t>
      </w:r>
    </w:p>
    <w:p w14:paraId="1B36B8E9">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本项目为单次供货项目，根据采购人实际要求供货期进行供货。供货方接到采购人送货通知后，3个工作日内将货物如数送至采购人指定地点。</w:t>
      </w:r>
    </w:p>
    <w:p w14:paraId="5542679E">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三、付款方式</w:t>
      </w:r>
    </w:p>
    <w:p w14:paraId="490CA6F1">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highlight w:val="none"/>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两年质保（质保期内保证药洗后产水不低于15方，循环量不低于220方），其履约保证金（合同价的5%）到时（验收合格后）自动转为质保金，质保期从验收合格之日起计算，质保金于质保期满且无未决质量争议后无息退还。</w:t>
      </w:r>
    </w:p>
    <w:p w14:paraId="6F94A17B">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2E7712E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75D194BC">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的派遣人员产生的一切费用由</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承担。</w:t>
      </w:r>
    </w:p>
    <w:p w14:paraId="42FB0458">
      <w:pPr>
        <w:pStyle w:val="4"/>
        <w:numPr>
          <w:ilvl w:val="0"/>
          <w:numId w:val="0"/>
        </w:numPr>
        <w:jc w:val="center"/>
        <w:outlineLvl w:val="9"/>
        <w:rPr>
          <w:rFonts w:hint="eastAsia" w:ascii="仿宋" w:hAnsi="仿宋" w:eastAsia="仿宋" w:cs="仿宋"/>
          <w:snapToGrid w:val="0"/>
          <w:sz w:val="30"/>
          <w:szCs w:val="30"/>
          <w:highlight w:val="none"/>
        </w:rPr>
      </w:pPr>
      <w:bookmarkStart w:id="12" w:name="_Toc530583924"/>
      <w:r>
        <w:rPr>
          <w:rFonts w:hint="eastAsia" w:ascii="仿宋" w:hAnsi="仿宋" w:eastAsia="仿宋" w:cs="仿宋"/>
          <w:snapToGrid w:val="0"/>
          <w:sz w:val="30"/>
          <w:szCs w:val="30"/>
        </w:rPr>
        <w:br w:type="page"/>
      </w:r>
    </w:p>
    <w:p w14:paraId="2C38EEF5">
      <w:pPr>
        <w:pStyle w:val="4"/>
        <w:numPr>
          <w:ilvl w:val="0"/>
          <w:numId w:val="4"/>
        </w:numPr>
        <w:ind w:left="840" w:leftChars="0" w:firstLineChars="0"/>
        <w:jc w:val="center"/>
        <w:rPr>
          <w:rFonts w:hint="eastAsia" w:ascii="仿宋" w:hAnsi="仿宋" w:eastAsia="仿宋" w:cs="仿宋"/>
          <w:snapToGrid w:val="0"/>
          <w:sz w:val="44"/>
          <w:szCs w:val="44"/>
          <w:highlight w:val="none"/>
          <w:lang w:val="en-US" w:eastAsia="zh-CN"/>
        </w:rPr>
      </w:pPr>
      <w:r>
        <w:rPr>
          <w:rFonts w:hint="eastAsia" w:ascii="仿宋" w:hAnsi="仿宋" w:eastAsia="仿宋" w:cs="仿宋"/>
          <w:snapToGrid w:val="0"/>
          <w:sz w:val="44"/>
          <w:szCs w:val="44"/>
          <w:highlight w:val="none"/>
          <w:lang w:val="en-US" w:eastAsia="zh-CN"/>
        </w:rPr>
        <w:t xml:space="preserve">   </w:t>
      </w:r>
      <w:bookmarkStart w:id="13" w:name="_Toc29656"/>
      <w:r>
        <w:rPr>
          <w:rFonts w:hint="eastAsia" w:ascii="仿宋" w:hAnsi="仿宋" w:eastAsia="仿宋" w:cs="仿宋"/>
          <w:snapToGrid w:val="0"/>
          <w:sz w:val="44"/>
          <w:szCs w:val="44"/>
          <w:highlight w:val="none"/>
          <w:lang w:val="en-US" w:eastAsia="zh-CN"/>
        </w:rPr>
        <w:t>合同主要条款（供参考）</w:t>
      </w:r>
      <w:bookmarkEnd w:id="13"/>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rPr>
        <w:t>经</w:t>
      </w:r>
      <w:r>
        <w:rPr>
          <w:rFonts w:hint="eastAsia" w:eastAsia="方正仿宋_GBK" w:cs="Times New Roman"/>
          <w:sz w:val="28"/>
          <w:szCs w:val="28"/>
          <w:lang w:val="en-US" w:eastAsia="zh-CN"/>
        </w:rPr>
        <w:t>甲乙</w:t>
      </w:r>
      <w:r>
        <w:rPr>
          <w:rFonts w:hint="eastAsia" w:ascii="Times New Roman" w:hAnsi="Times New Roman" w:eastAsia="方正仿宋_GBK" w:cs="Times New Roman"/>
          <w:sz w:val="28"/>
          <w:szCs w:val="28"/>
        </w:rPr>
        <w:t>双方友好协商，一致同意签订本合同，以便遵照执行。</w:t>
      </w:r>
    </w:p>
    <w:p w14:paraId="1A7624AC">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第一条</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范围及价格</w:t>
      </w:r>
    </w:p>
    <w:tbl>
      <w:tblPr>
        <w:tblStyle w:val="13"/>
        <w:tblW w:w="9988" w:type="dxa"/>
        <w:jc w:val="center"/>
        <w:tblLayout w:type="fixed"/>
        <w:tblCellMar>
          <w:top w:w="0" w:type="dxa"/>
          <w:left w:w="108" w:type="dxa"/>
          <w:bottom w:w="0" w:type="dxa"/>
          <w:right w:w="108" w:type="dxa"/>
        </w:tblCellMar>
      </w:tblPr>
      <w:tblGrid>
        <w:gridCol w:w="751"/>
        <w:gridCol w:w="1439"/>
        <w:gridCol w:w="1711"/>
        <w:gridCol w:w="709"/>
        <w:gridCol w:w="709"/>
        <w:gridCol w:w="992"/>
        <w:gridCol w:w="992"/>
        <w:gridCol w:w="1275"/>
        <w:gridCol w:w="1410"/>
      </w:tblGrid>
      <w:tr w14:paraId="1FC5DFCC">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0085ABDB">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78B09A60">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产品名称</w:t>
            </w:r>
          </w:p>
        </w:tc>
        <w:tc>
          <w:tcPr>
            <w:tcW w:w="1711" w:type="dxa"/>
            <w:tcBorders>
              <w:top w:val="single" w:color="auto" w:sz="4" w:space="0"/>
              <w:left w:val="nil"/>
              <w:bottom w:val="single" w:color="auto" w:sz="4" w:space="0"/>
              <w:right w:val="single" w:color="auto" w:sz="4" w:space="0"/>
            </w:tcBorders>
            <w:noWrap w:val="0"/>
            <w:vAlign w:val="center"/>
          </w:tcPr>
          <w:p w14:paraId="7E1DDE49">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型号规格</w:t>
            </w:r>
          </w:p>
        </w:tc>
        <w:tc>
          <w:tcPr>
            <w:tcW w:w="709" w:type="dxa"/>
            <w:tcBorders>
              <w:top w:val="single" w:color="auto" w:sz="4" w:space="0"/>
              <w:left w:val="nil"/>
              <w:bottom w:val="single" w:color="auto" w:sz="4" w:space="0"/>
              <w:right w:val="single" w:color="auto" w:sz="4" w:space="0"/>
            </w:tcBorders>
            <w:noWrap w:val="0"/>
            <w:vAlign w:val="center"/>
          </w:tcPr>
          <w:p w14:paraId="0FE24892">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数量</w:t>
            </w:r>
          </w:p>
        </w:tc>
        <w:tc>
          <w:tcPr>
            <w:tcW w:w="709" w:type="dxa"/>
            <w:tcBorders>
              <w:top w:val="single" w:color="auto" w:sz="4" w:space="0"/>
              <w:left w:val="nil"/>
              <w:bottom w:val="single" w:color="auto" w:sz="4" w:space="0"/>
              <w:right w:val="single" w:color="auto" w:sz="4" w:space="0"/>
            </w:tcBorders>
            <w:noWrap w:val="0"/>
            <w:vAlign w:val="center"/>
          </w:tcPr>
          <w:p w14:paraId="1827530D">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单位</w:t>
            </w:r>
          </w:p>
        </w:tc>
        <w:tc>
          <w:tcPr>
            <w:tcW w:w="992" w:type="dxa"/>
            <w:tcBorders>
              <w:top w:val="single" w:color="auto" w:sz="4" w:space="0"/>
              <w:left w:val="nil"/>
              <w:bottom w:val="single" w:color="auto" w:sz="4" w:space="0"/>
              <w:right w:val="single" w:color="auto" w:sz="4" w:space="0"/>
            </w:tcBorders>
            <w:noWrap w:val="0"/>
            <w:vAlign w:val="center"/>
          </w:tcPr>
          <w:p w14:paraId="14A91725">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品牌</w:t>
            </w:r>
          </w:p>
        </w:tc>
        <w:tc>
          <w:tcPr>
            <w:tcW w:w="992" w:type="dxa"/>
            <w:tcBorders>
              <w:top w:val="single" w:color="auto" w:sz="4" w:space="0"/>
              <w:left w:val="nil"/>
              <w:bottom w:val="single" w:color="auto" w:sz="4" w:space="0"/>
              <w:right w:val="single" w:color="auto" w:sz="4" w:space="0"/>
            </w:tcBorders>
            <w:noWrap w:val="0"/>
            <w:vAlign w:val="center"/>
          </w:tcPr>
          <w:p w14:paraId="18A5117A">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备注</w:t>
            </w:r>
          </w:p>
        </w:tc>
        <w:tc>
          <w:tcPr>
            <w:tcW w:w="1275" w:type="dxa"/>
            <w:tcBorders>
              <w:top w:val="single" w:color="auto" w:sz="4" w:space="0"/>
              <w:left w:val="nil"/>
              <w:bottom w:val="single" w:color="auto" w:sz="4" w:space="0"/>
              <w:right w:val="single" w:color="auto" w:sz="4" w:space="0"/>
            </w:tcBorders>
            <w:noWrap w:val="0"/>
            <w:vAlign w:val="center"/>
          </w:tcPr>
          <w:p w14:paraId="01AE2C9D">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单价（元）</w:t>
            </w:r>
          </w:p>
        </w:tc>
        <w:tc>
          <w:tcPr>
            <w:tcW w:w="1410" w:type="dxa"/>
            <w:tcBorders>
              <w:top w:val="single" w:color="auto" w:sz="4" w:space="0"/>
              <w:left w:val="nil"/>
              <w:bottom w:val="single" w:color="auto" w:sz="4" w:space="0"/>
              <w:right w:val="single" w:color="auto" w:sz="4" w:space="0"/>
            </w:tcBorders>
            <w:noWrap w:val="0"/>
            <w:vAlign w:val="center"/>
          </w:tcPr>
          <w:p w14:paraId="29C31A14">
            <w:pPr>
              <w:adjustRightInd/>
              <w:snapToGrid/>
              <w:spacing w:after="0"/>
              <w:jc w:val="center"/>
              <w:rPr>
                <w:rFonts w:hint="eastAsia" w:ascii="Times New Roman" w:hAnsi="Times New Roman" w:eastAsia="方正仿宋_GBK" w:cs="Times New Roman"/>
                <w:b/>
                <w:bCs/>
                <w:sz w:val="24"/>
                <w:szCs w:val="24"/>
                <w:highlight w:val="none"/>
                <w:lang w:val="en-US" w:eastAsia="zh-CN"/>
              </w:rPr>
            </w:pPr>
            <w:r>
              <w:rPr>
                <w:rFonts w:hint="eastAsia" w:ascii="Times New Roman" w:hAnsi="Times New Roman" w:eastAsia="方正仿宋_GBK" w:cs="Times New Roman"/>
                <w:b/>
                <w:bCs/>
                <w:sz w:val="24"/>
                <w:szCs w:val="24"/>
                <w:highlight w:val="none"/>
                <w:lang w:val="en-US" w:eastAsia="zh-CN"/>
              </w:rPr>
              <w:t>金额（元）</w:t>
            </w:r>
          </w:p>
        </w:tc>
      </w:tr>
      <w:tr w14:paraId="65198D6A">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ED6F5FA">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1</w:t>
            </w:r>
          </w:p>
        </w:tc>
        <w:tc>
          <w:tcPr>
            <w:tcW w:w="1439" w:type="dxa"/>
            <w:tcBorders>
              <w:top w:val="nil"/>
              <w:left w:val="nil"/>
              <w:bottom w:val="single" w:color="auto" w:sz="4" w:space="0"/>
              <w:right w:val="single" w:color="auto" w:sz="4" w:space="0"/>
            </w:tcBorders>
            <w:shd w:val="clear" w:color="000000" w:fill="FFFFFF"/>
            <w:noWrap w:val="0"/>
            <w:vAlign w:val="center"/>
          </w:tcPr>
          <w:p w14:paraId="7903C9D8">
            <w:pPr>
              <w:adjustRightInd/>
              <w:snapToGrid/>
              <w:spacing w:after="0"/>
              <w:jc w:val="center"/>
              <w:rPr>
                <w:rFonts w:hint="eastAsia" w:ascii="Times New Roman" w:hAnsi="Times New Roman" w:eastAsia="方正仿宋_GBK" w:cs="Times New Roman"/>
                <w:b/>
                <w:bCs/>
                <w:sz w:val="24"/>
                <w:szCs w:val="24"/>
                <w:highlight w:val="none"/>
              </w:rPr>
            </w:pPr>
          </w:p>
        </w:tc>
        <w:tc>
          <w:tcPr>
            <w:tcW w:w="1711" w:type="dxa"/>
            <w:tcBorders>
              <w:top w:val="nil"/>
              <w:left w:val="nil"/>
              <w:bottom w:val="single" w:color="auto" w:sz="4" w:space="0"/>
              <w:right w:val="single" w:color="auto" w:sz="4" w:space="0"/>
            </w:tcBorders>
            <w:shd w:val="clear" w:color="000000" w:fill="FFFFFF"/>
            <w:noWrap w:val="0"/>
            <w:vAlign w:val="center"/>
          </w:tcPr>
          <w:p w14:paraId="3FA647C3">
            <w:pPr>
              <w:adjustRightInd/>
              <w:snapToGrid/>
              <w:spacing w:after="0"/>
              <w:jc w:val="center"/>
              <w:rPr>
                <w:rFonts w:hint="eastAsia"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6533A1DE">
            <w:pPr>
              <w:adjustRightInd/>
              <w:snapToGrid/>
              <w:spacing w:after="0"/>
              <w:jc w:val="center"/>
              <w:rPr>
                <w:rFonts w:hint="default"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26704756">
            <w:pPr>
              <w:adjustRightInd/>
              <w:snapToGrid/>
              <w:spacing w:after="0"/>
              <w:jc w:val="center"/>
              <w:rPr>
                <w:rFonts w:hint="default" w:ascii="Times New Roman" w:hAnsi="Times New Roman" w:eastAsia="方正仿宋_GBK" w:cs="Times New Roman"/>
                <w:b/>
                <w:bCs/>
                <w:sz w:val="24"/>
                <w:szCs w:val="24"/>
                <w:highlight w:val="none"/>
              </w:rPr>
            </w:pPr>
          </w:p>
        </w:tc>
        <w:tc>
          <w:tcPr>
            <w:tcW w:w="992" w:type="dxa"/>
            <w:tcBorders>
              <w:top w:val="nil"/>
              <w:left w:val="nil"/>
              <w:bottom w:val="single" w:color="auto" w:sz="4" w:space="0"/>
              <w:right w:val="single" w:color="auto" w:sz="4" w:space="0"/>
            </w:tcBorders>
            <w:noWrap w:val="0"/>
            <w:vAlign w:val="center"/>
          </w:tcPr>
          <w:p w14:paraId="632BF058">
            <w:pPr>
              <w:adjustRightInd/>
              <w:snapToGrid/>
              <w:spacing w:after="0"/>
              <w:jc w:val="center"/>
              <w:rPr>
                <w:rFonts w:hint="default" w:ascii="Times New Roman" w:hAnsi="Times New Roman" w:eastAsia="方正仿宋_GBK" w:cs="Times New Roman"/>
                <w:b/>
                <w:bCs/>
                <w:sz w:val="24"/>
                <w:szCs w:val="24"/>
                <w:highlight w:val="none"/>
              </w:rPr>
            </w:pPr>
          </w:p>
        </w:tc>
        <w:tc>
          <w:tcPr>
            <w:tcW w:w="992" w:type="dxa"/>
            <w:tcBorders>
              <w:top w:val="nil"/>
              <w:left w:val="nil"/>
              <w:bottom w:val="single" w:color="auto" w:sz="4" w:space="0"/>
              <w:right w:val="single" w:color="auto" w:sz="4" w:space="0"/>
            </w:tcBorders>
            <w:noWrap w:val="0"/>
            <w:vAlign w:val="center"/>
          </w:tcPr>
          <w:p w14:paraId="797EC2E6">
            <w:pPr>
              <w:adjustRightInd/>
              <w:snapToGrid/>
              <w:spacing w:after="0"/>
              <w:jc w:val="center"/>
              <w:rPr>
                <w:rFonts w:hint="default" w:ascii="Times New Roman" w:hAnsi="Times New Roman" w:eastAsia="方正仿宋_GBK" w:cs="Times New Roman"/>
                <w:b/>
                <w:bCs/>
                <w:sz w:val="24"/>
                <w:szCs w:val="24"/>
                <w:highlight w:val="none"/>
              </w:rPr>
            </w:pPr>
          </w:p>
        </w:tc>
        <w:tc>
          <w:tcPr>
            <w:tcW w:w="1275" w:type="dxa"/>
            <w:tcBorders>
              <w:top w:val="nil"/>
              <w:left w:val="nil"/>
              <w:bottom w:val="single" w:color="auto" w:sz="4" w:space="0"/>
              <w:right w:val="single" w:color="auto" w:sz="4" w:space="0"/>
            </w:tcBorders>
            <w:noWrap w:val="0"/>
            <w:vAlign w:val="center"/>
          </w:tcPr>
          <w:p w14:paraId="55F60B0E">
            <w:pPr>
              <w:adjustRightInd/>
              <w:snapToGrid/>
              <w:spacing w:after="0"/>
              <w:jc w:val="center"/>
              <w:rPr>
                <w:rFonts w:hint="eastAsia" w:ascii="Times New Roman" w:hAnsi="Times New Roman" w:eastAsia="方正仿宋_GBK" w:cs="Times New Roman"/>
                <w:b/>
                <w:bCs/>
                <w:sz w:val="24"/>
                <w:szCs w:val="24"/>
                <w:highlight w:val="none"/>
              </w:rPr>
            </w:pPr>
          </w:p>
        </w:tc>
        <w:tc>
          <w:tcPr>
            <w:tcW w:w="1410" w:type="dxa"/>
            <w:tcBorders>
              <w:top w:val="nil"/>
              <w:left w:val="nil"/>
              <w:bottom w:val="single" w:color="auto" w:sz="4" w:space="0"/>
              <w:right w:val="single" w:color="auto" w:sz="4" w:space="0"/>
            </w:tcBorders>
            <w:noWrap w:val="0"/>
            <w:vAlign w:val="center"/>
          </w:tcPr>
          <w:p w14:paraId="7FC8068C">
            <w:pPr>
              <w:adjustRightInd/>
              <w:snapToGrid/>
              <w:spacing w:after="0"/>
              <w:jc w:val="center"/>
              <w:rPr>
                <w:rFonts w:hint="eastAsia" w:ascii="Times New Roman" w:hAnsi="Times New Roman" w:eastAsia="方正仿宋_GBK" w:cs="Times New Roman"/>
                <w:b/>
                <w:bCs/>
                <w:sz w:val="24"/>
                <w:szCs w:val="24"/>
                <w:highlight w:val="none"/>
              </w:rPr>
            </w:pPr>
          </w:p>
        </w:tc>
      </w:tr>
      <w:tr w14:paraId="0DD3C511">
        <w:tblPrEx>
          <w:tblCellMar>
            <w:top w:w="0" w:type="dxa"/>
            <w:left w:w="108" w:type="dxa"/>
            <w:bottom w:w="0" w:type="dxa"/>
            <w:right w:w="108" w:type="dxa"/>
          </w:tblCellMar>
        </w:tblPrEx>
        <w:trPr>
          <w:trHeight w:val="836" w:hRule="atLeast"/>
          <w:jc w:val="center"/>
        </w:trPr>
        <w:tc>
          <w:tcPr>
            <w:tcW w:w="7303" w:type="dxa"/>
            <w:gridSpan w:val="7"/>
            <w:tcBorders>
              <w:top w:val="nil"/>
              <w:left w:val="single" w:color="auto" w:sz="4" w:space="0"/>
              <w:bottom w:val="single" w:color="auto" w:sz="4" w:space="0"/>
              <w:right w:val="single" w:color="auto" w:sz="4" w:space="0"/>
            </w:tcBorders>
            <w:noWrap w:val="0"/>
            <w:vAlign w:val="center"/>
          </w:tcPr>
          <w:p w14:paraId="6E443802">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合同总金额人民币（大写）：</w:t>
            </w:r>
          </w:p>
        </w:tc>
        <w:tc>
          <w:tcPr>
            <w:tcW w:w="2685" w:type="dxa"/>
            <w:gridSpan w:val="2"/>
            <w:tcBorders>
              <w:top w:val="nil"/>
              <w:left w:val="single" w:color="auto" w:sz="4" w:space="0"/>
              <w:bottom w:val="single" w:color="auto" w:sz="4" w:space="0"/>
              <w:right w:val="single" w:color="auto" w:sz="4" w:space="0"/>
            </w:tcBorders>
            <w:noWrap w:val="0"/>
            <w:vAlign w:val="center"/>
          </w:tcPr>
          <w:p w14:paraId="67876D58">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w:t>
            </w:r>
          </w:p>
        </w:tc>
      </w:tr>
      <w:tr w14:paraId="2BDC5423">
        <w:tblPrEx>
          <w:tblCellMar>
            <w:top w:w="0" w:type="dxa"/>
            <w:left w:w="108" w:type="dxa"/>
            <w:bottom w:w="0" w:type="dxa"/>
            <w:right w:w="108" w:type="dxa"/>
          </w:tblCellMar>
        </w:tblPrEx>
        <w:trPr>
          <w:trHeight w:val="716" w:hRule="atLeast"/>
          <w:jc w:val="center"/>
        </w:trPr>
        <w:tc>
          <w:tcPr>
            <w:tcW w:w="9988" w:type="dxa"/>
            <w:gridSpan w:val="9"/>
            <w:tcBorders>
              <w:top w:val="nil"/>
              <w:left w:val="single" w:color="auto" w:sz="4" w:space="0"/>
              <w:bottom w:val="single" w:color="auto" w:sz="4" w:space="0"/>
              <w:right w:val="single" w:color="auto" w:sz="4" w:space="0"/>
            </w:tcBorders>
            <w:noWrap w:val="0"/>
            <w:vAlign w:val="center"/>
          </w:tcPr>
          <w:p w14:paraId="73E14E94">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备注：以上金额含</w:t>
            </w:r>
            <w:r>
              <w:rPr>
                <w:rFonts w:hint="eastAsia" w:eastAsia="方正仿宋_GBK" w:cs="Times New Roman"/>
                <w:b/>
                <w:bCs/>
                <w:sz w:val="24"/>
                <w:szCs w:val="24"/>
                <w:highlight w:val="none"/>
                <w:lang w:val="en-US" w:eastAsia="zh-CN"/>
              </w:rPr>
              <w:t xml:space="preserve">  </w:t>
            </w:r>
            <w:r>
              <w:rPr>
                <w:rFonts w:hint="eastAsia" w:ascii="Times New Roman" w:hAnsi="Times New Roman" w:eastAsia="方正仿宋_GBK" w:cs="Times New Roman"/>
                <w:b/>
                <w:bCs/>
                <w:sz w:val="24"/>
                <w:szCs w:val="24"/>
                <w:highlight w:val="none"/>
              </w:rPr>
              <w:t>%增值税和运费</w:t>
            </w:r>
          </w:p>
        </w:tc>
      </w:tr>
    </w:tbl>
    <w:p w14:paraId="1E1C81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时间、地点</w:t>
      </w:r>
      <w:r>
        <w:rPr>
          <w:rFonts w:hint="eastAsia" w:ascii="黑体" w:hAnsi="黑体" w:eastAsia="黑体" w:cs="黑体"/>
          <w:sz w:val="28"/>
          <w:szCs w:val="28"/>
          <w:highlight w:val="none"/>
          <w:lang w:eastAsia="zh-CN"/>
        </w:rPr>
        <w:t>、要求</w:t>
      </w:r>
    </w:p>
    <w:p w14:paraId="453342D8">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eastAsia="zh-CN"/>
        </w:rPr>
        <w:t>1.供货</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本项目为单次供货项目，根据甲方实际要求供货期进行供货。乙方接到甲方送货通知后，3个工作日内将货物如数送至甲方指定地点</w:t>
      </w:r>
      <w:r>
        <w:rPr>
          <w:rFonts w:hint="eastAsia" w:ascii="方正仿宋_GBK" w:hAnsi="方正仿宋_GBK" w:eastAsia="方正仿宋_GBK" w:cs="方正仿宋_GBK"/>
          <w:sz w:val="28"/>
          <w:szCs w:val="28"/>
          <w:highlight w:val="none"/>
        </w:rPr>
        <w:t>。</w:t>
      </w:r>
    </w:p>
    <w:p w14:paraId="15FBED40">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highlight w:val="none"/>
          <w:lang w:eastAsia="zh-CN"/>
        </w:rPr>
        <w:t>2.供货</w:t>
      </w:r>
      <w:r>
        <w:rPr>
          <w:rFonts w:hint="eastAsia" w:ascii="方正仿宋_GBK" w:hAnsi="方正仿宋_GBK" w:eastAsia="方正仿宋_GBK" w:cs="方正仿宋_GBK"/>
          <w:sz w:val="28"/>
          <w:szCs w:val="28"/>
          <w:highlight w:val="none"/>
        </w:rPr>
        <w:t>地点：</w:t>
      </w:r>
      <w:r>
        <w:rPr>
          <w:rFonts w:hint="eastAsia" w:ascii="方正仿宋_GBK" w:hAnsi="方正仿宋_GBK" w:eastAsia="方正仿宋_GBK" w:cs="方正仿宋_GBK"/>
          <w:sz w:val="28"/>
          <w:szCs w:val="28"/>
          <w:highlight w:val="none"/>
          <w:lang w:eastAsia="zh-CN"/>
        </w:rPr>
        <w:t>浙江省绍兴市柯桥区钱滨线二线海塘绍兴市再生能源发展</w:t>
      </w:r>
      <w:r>
        <w:rPr>
          <w:rFonts w:hint="eastAsia" w:ascii="方正仿宋_GBK" w:hAnsi="方正仿宋_GBK" w:eastAsia="方正仿宋_GBK" w:cs="方正仿宋_GBK"/>
          <w:sz w:val="28"/>
          <w:szCs w:val="28"/>
          <w:lang w:eastAsia="zh-CN"/>
        </w:rPr>
        <w:t>有限公司。</w:t>
      </w:r>
    </w:p>
    <w:p w14:paraId="2B2F559C">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3.供货要求：交货时，应附有相应的装货清单、合格证及相关技术资料。（如有）</w:t>
      </w:r>
    </w:p>
    <w:p w14:paraId="44C320E3">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rPr>
      </w:pPr>
      <w:r>
        <w:rPr>
          <w:rFonts w:hint="eastAsia" w:ascii="黑体" w:hAnsi="黑体" w:eastAsia="黑体" w:cs="黑体"/>
          <w:sz w:val="28"/>
          <w:szCs w:val="28"/>
          <w:highlight w:val="none"/>
        </w:rPr>
        <w:t>第三条 技术要求</w:t>
      </w:r>
    </w:p>
    <w:p w14:paraId="0A7EBEEA">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US" w:eastAsia="zh-CN"/>
        </w:rPr>
        <w:t>乙方保证所供产品均为原厂原装、全新未使用的合格正品，且交付时均处于产品规定的有效使用期。产品质量与技术指标符合国家标准、行业规范及甲方要求（以较严格者为准），并提供出厂检验报告、合格证等完整资料；供货周期须满足甲方实际使用需求</w:t>
      </w:r>
      <w:r>
        <w:rPr>
          <w:rFonts w:hint="eastAsia" w:ascii="方正仿宋_GBK" w:hAnsi="方正仿宋_GBK" w:eastAsia="方正仿宋_GBK" w:cs="方正仿宋_GBK"/>
          <w:sz w:val="28"/>
          <w:szCs w:val="28"/>
          <w:highlight w:val="none"/>
        </w:rPr>
        <w:t>。</w:t>
      </w:r>
    </w:p>
    <w:p w14:paraId="0BC699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第四条 合同价格   </w:t>
      </w:r>
    </w:p>
    <w:p w14:paraId="736911F9">
      <w:pPr>
        <w:pStyle w:val="34"/>
        <w:keepNext w:val="0"/>
        <w:keepLines w:val="0"/>
        <w:pageBreakBefore w:val="0"/>
        <w:widowControl/>
        <w:kinsoku/>
        <w:wordWrap/>
        <w:overflowPunct/>
        <w:topLinePunct w:val="0"/>
        <w:autoSpaceDE/>
        <w:autoSpaceDN/>
        <w:bidi w:val="0"/>
        <w:adjustRightInd w:val="0"/>
        <w:snapToGrid w:val="0"/>
        <w:spacing w:after="0" w:line="579" w:lineRule="exact"/>
        <w:ind w:left="279" w:leftChars="133" w:firstLine="280" w:firstLineChars="1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合同总金额人民币（大写）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元整，本</w:t>
      </w:r>
      <w:r>
        <w:rPr>
          <w:rFonts w:hint="eastAsia" w:ascii="方正仿宋_GBK" w:hAnsi="方正仿宋_GBK" w:eastAsia="方正仿宋_GBK" w:cs="方正仿宋_GBK"/>
          <w:sz w:val="28"/>
          <w:szCs w:val="28"/>
          <w:highlight w:val="none"/>
        </w:rPr>
        <w:t>合同为固定</w:t>
      </w:r>
      <w:r>
        <w:rPr>
          <w:rFonts w:hint="eastAsia" w:ascii="方正仿宋_GBK" w:hAnsi="方正仿宋_GBK" w:eastAsia="方正仿宋_GBK" w:cs="方正仿宋_GBK"/>
          <w:sz w:val="28"/>
          <w:szCs w:val="28"/>
          <w:highlight w:val="none"/>
          <w:lang w:eastAsia="zh-CN"/>
        </w:rPr>
        <w:t>总价</w:t>
      </w:r>
      <w:r>
        <w:rPr>
          <w:rFonts w:hint="eastAsia" w:ascii="方正仿宋_GBK" w:hAnsi="方正仿宋_GBK" w:eastAsia="方正仿宋_GBK" w:cs="方正仿宋_GBK"/>
          <w:sz w:val="28"/>
          <w:szCs w:val="28"/>
          <w:highlight w:val="none"/>
        </w:rPr>
        <w:t>合同，金额包含包装费、运费、税金、保险费等， 供需双方不能因市场价格</w:t>
      </w:r>
      <w:r>
        <w:rPr>
          <w:rFonts w:hint="eastAsia" w:ascii="方正仿宋_GBK" w:hAnsi="方正仿宋_GBK" w:eastAsia="方正仿宋_GBK" w:cs="方正仿宋_GBK"/>
          <w:sz w:val="28"/>
          <w:szCs w:val="28"/>
        </w:rPr>
        <w:t>变化而调整合同价。</w:t>
      </w:r>
    </w:p>
    <w:p w14:paraId="1BB9B344">
      <w:pPr>
        <w:pStyle w:val="34"/>
        <w:keepNext w:val="0"/>
        <w:keepLines w:val="0"/>
        <w:pageBreakBefore w:val="0"/>
        <w:numPr>
          <w:ilvl w:val="0"/>
          <w:numId w:val="5"/>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lang w:val="en-US" w:eastAsia="zh-CN" w:bidi="ar-SA"/>
        </w:rPr>
      </w:pPr>
      <w:r>
        <w:rPr>
          <w:rFonts w:ascii="Times New Roman" w:hAnsi="Times New Roman" w:eastAsia="黑体"/>
          <w:kern w:val="2"/>
          <w:sz w:val="28"/>
          <w:szCs w:val="28"/>
        </w:rPr>
        <w:t>付款方式及保证金</w:t>
      </w:r>
    </w:p>
    <w:p w14:paraId="3B51C19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全部货物运送至甲方指定地点，且经由甲方验收合格后，乙方提供经双方确认的送货清单及等额、合法、有效的增值税专用发票，甲方自收到准确清单和发票且核对无误后，于次二月完成货款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两年质保（质保期内保证药洗后产水不低于15方，循环量不低于220方），其履约保证金（合同价的5%）到时（验收合格后）自动转为质保金，质保期从验收合格之日起计算，质保金于质保期满且无未决质量争议后无息退还。</w:t>
      </w:r>
    </w:p>
    <w:p w14:paraId="0ABEAB09">
      <w:pPr>
        <w:pStyle w:val="34"/>
        <w:numPr>
          <w:ilvl w:val="0"/>
          <w:numId w:val="0"/>
        </w:numPr>
        <w:spacing w:beforeAutospacing="0" w:line="579" w:lineRule="exact"/>
        <w:ind w:left="560" w:hanging="560" w:hangingChars="200"/>
        <w:contextualSpacing/>
        <w:jc w:val="both"/>
        <w:outlineLvl w:val="0"/>
        <w:rPr>
          <w:rFonts w:ascii="Times New Roman" w:hAnsi="Times New Roman" w:eastAsia="黑体"/>
          <w:kern w:val="2"/>
          <w:sz w:val="28"/>
          <w:szCs w:val="28"/>
        </w:rPr>
      </w:pPr>
      <w:bookmarkStart w:id="14" w:name="_Toc18313"/>
      <w:r>
        <w:rPr>
          <w:rFonts w:hint="eastAsia" w:ascii="Times New Roman" w:hAnsi="Times New Roman" w:eastAsia="黑体" w:cs="Times New Roman"/>
          <w:kern w:val="2"/>
          <w:sz w:val="28"/>
          <w:szCs w:val="28"/>
          <w:lang w:val="en-US" w:eastAsia="zh-CN" w:bidi="ar-SA"/>
        </w:rPr>
        <w:t xml:space="preserve">第六条 </w:t>
      </w:r>
      <w:r>
        <w:rPr>
          <w:rFonts w:ascii="Times New Roman" w:hAnsi="Times New Roman" w:eastAsia="黑体"/>
          <w:kern w:val="2"/>
          <w:sz w:val="28"/>
          <w:szCs w:val="28"/>
        </w:rPr>
        <w:t>验收标准</w:t>
      </w:r>
      <w:bookmarkEnd w:id="14"/>
    </w:p>
    <w:p w14:paraId="2A247297">
      <w:pPr>
        <w:pStyle w:val="34"/>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乙方应提供相应的送货单，甲方</w:t>
      </w:r>
      <w:r>
        <w:rPr>
          <w:rFonts w:hint="eastAsia" w:ascii="方正仿宋_GBK" w:hAnsi="方正仿宋_GBK" w:eastAsia="方正仿宋_GBK" w:cs="方正仿宋_GBK"/>
          <w:sz w:val="28"/>
          <w:szCs w:val="28"/>
        </w:rPr>
        <w:t>按</w:t>
      </w:r>
      <w:r>
        <w:rPr>
          <w:rFonts w:hint="eastAsia" w:ascii="方正仿宋_GBK" w:hAnsi="方正仿宋_GBK" w:eastAsia="方正仿宋_GBK" w:cs="方正仿宋_GBK"/>
          <w:sz w:val="28"/>
          <w:szCs w:val="28"/>
          <w:lang w:eastAsia="zh-CN"/>
        </w:rPr>
        <w:t>相关</w:t>
      </w:r>
      <w:r>
        <w:rPr>
          <w:rFonts w:hint="eastAsia" w:ascii="方正仿宋_GBK" w:hAnsi="方正仿宋_GBK" w:eastAsia="方正仿宋_GBK" w:cs="方正仿宋_GBK"/>
          <w:sz w:val="28"/>
          <w:szCs w:val="28"/>
        </w:rPr>
        <w:t>技术协议</w:t>
      </w:r>
      <w:r>
        <w:rPr>
          <w:rFonts w:hint="eastAsia" w:ascii="方正仿宋_GBK" w:hAnsi="方正仿宋_GBK" w:eastAsia="方正仿宋_GBK" w:cs="方正仿宋_GBK"/>
          <w:sz w:val="28"/>
          <w:szCs w:val="28"/>
          <w:lang w:eastAsia="zh-CN"/>
        </w:rPr>
        <w:t>、行业规范或</w:t>
      </w:r>
      <w:r>
        <w:rPr>
          <w:rFonts w:hint="eastAsia" w:ascii="方正仿宋_GBK" w:hAnsi="方正仿宋_GBK" w:eastAsia="方正仿宋_GBK" w:cs="方正仿宋_GBK"/>
          <w:sz w:val="28"/>
          <w:szCs w:val="28"/>
        </w:rPr>
        <w:t>国家标准</w:t>
      </w:r>
      <w:r>
        <w:rPr>
          <w:rFonts w:hint="eastAsia" w:ascii="方正仿宋_GBK" w:hAnsi="方正仿宋_GBK" w:eastAsia="方正仿宋_GBK" w:cs="方正仿宋_GBK"/>
          <w:sz w:val="28"/>
          <w:szCs w:val="28"/>
          <w:lang w:eastAsia="zh-CN"/>
        </w:rPr>
        <w:t>进行</w:t>
      </w:r>
      <w:r>
        <w:rPr>
          <w:rFonts w:hint="eastAsia" w:ascii="方正仿宋_GBK" w:hAnsi="方正仿宋_GBK" w:eastAsia="方正仿宋_GBK" w:cs="方正仿宋_GBK"/>
          <w:sz w:val="28"/>
          <w:szCs w:val="28"/>
        </w:rPr>
        <w:t>验收，</w:t>
      </w:r>
      <w:r>
        <w:rPr>
          <w:rFonts w:hint="eastAsia" w:ascii="方正仿宋_GBK" w:hAnsi="方正仿宋_GBK" w:eastAsia="方正仿宋_GBK" w:cs="方正仿宋_GBK"/>
          <w:sz w:val="28"/>
          <w:szCs w:val="28"/>
          <w:lang w:eastAsia="zh-CN"/>
        </w:rPr>
        <w:t>验收标准以严格者（</w:t>
      </w:r>
      <w:r>
        <w:rPr>
          <w:rFonts w:hint="eastAsia" w:ascii="方正仿宋_GBK" w:hAnsi="方正仿宋_GBK" w:eastAsia="方正仿宋_GBK" w:cs="方正仿宋_GBK"/>
          <w:sz w:val="28"/>
          <w:szCs w:val="28"/>
          <w:lang w:val="en-US" w:eastAsia="zh-CN"/>
        </w:rPr>
        <w:t>高者）</w:t>
      </w:r>
      <w:r>
        <w:rPr>
          <w:rFonts w:hint="eastAsia" w:ascii="方正仿宋_GBK" w:hAnsi="方正仿宋_GBK" w:eastAsia="方正仿宋_GBK" w:cs="方正仿宋_GBK"/>
          <w:sz w:val="28"/>
          <w:szCs w:val="28"/>
          <w:lang w:eastAsia="zh-CN"/>
        </w:rPr>
        <w:t>为基准，规格、质量等应符合相关质量标准。</w:t>
      </w:r>
      <w:r>
        <w:rPr>
          <w:rFonts w:hint="eastAsia" w:ascii="方正仿宋_GBK" w:hAnsi="方正仿宋_GBK" w:eastAsia="方正仿宋_GBK" w:cs="方正仿宋_GBK"/>
          <w:sz w:val="28"/>
          <w:szCs w:val="28"/>
        </w:rPr>
        <w:t>甲方对货物的品种、规格、型号、数量、外观、随附文件（合格证、说明书等）进行清点核对。此验收合格只能视为初步验收，并不能</w:t>
      </w:r>
      <w:r>
        <w:rPr>
          <w:rFonts w:hint="eastAsia" w:ascii="方正仿宋_GBK" w:hAnsi="方正仿宋_GBK" w:eastAsia="方正仿宋_GBK" w:cs="方正仿宋_GBK"/>
          <w:sz w:val="28"/>
          <w:szCs w:val="28"/>
          <w:lang w:val="en-US" w:eastAsia="zh-CN"/>
        </w:rPr>
        <w:t>免除</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对其产品在质保期内的质量担保责任，对于必须安装运转后才能发现的隐蔽瑕疵，甲方有权在质保期内提出异议。</w:t>
      </w:r>
    </w:p>
    <w:p w14:paraId="0B9F682E">
      <w:pPr>
        <w:pStyle w:val="34"/>
        <w:spacing w:line="579" w:lineRule="exact"/>
        <w:ind w:firstLine="560" w:firstLineChars="200"/>
        <w:contextualSpacing/>
        <w:jc w:val="both"/>
        <w:rPr>
          <w:rFonts w:ascii="Times New Roman" w:hAnsi="Times New Roman"/>
        </w:rPr>
      </w:pPr>
      <w:r>
        <w:rPr>
          <w:rFonts w:hint="default" w:ascii="Times New Roman" w:hAnsi="Times New Roman" w:eastAsia="方正仿宋_GBK" w:cs="Times New Roman"/>
          <w:sz w:val="28"/>
          <w:szCs w:val="28"/>
          <w:lang w:eastAsia="zh-CN"/>
        </w:rPr>
        <w:t>凡甲</w:t>
      </w:r>
      <w:r>
        <w:rPr>
          <w:rFonts w:hint="eastAsia" w:ascii="Times New Roman" w:hAnsi="Times New Roman" w:eastAsia="方正仿宋_GBK" w:cs="Times New Roman"/>
          <w:sz w:val="28"/>
          <w:szCs w:val="28"/>
          <w:lang w:eastAsia="zh-CN"/>
        </w:rPr>
        <w:t>方在</w:t>
      </w:r>
      <w:r>
        <w:rPr>
          <w:rFonts w:hint="default" w:ascii="Times New Roman" w:hAnsi="Times New Roman" w:eastAsia="方正仿宋_GBK" w:cs="Times New Roman"/>
          <w:sz w:val="28"/>
          <w:szCs w:val="28"/>
          <w:lang w:eastAsia="zh-CN"/>
        </w:rPr>
        <w:t>验收过程中发现</w:t>
      </w:r>
      <w:r>
        <w:rPr>
          <w:rFonts w:hint="eastAsia" w:ascii="Times New Roman" w:hAnsi="Times New Roman" w:eastAsia="方正仿宋_GBK"/>
          <w:sz w:val="28"/>
          <w:szCs w:val="28"/>
        </w:rPr>
        <w:t>乙方提供的货物不符合合同约定的</w:t>
      </w:r>
      <w:r>
        <w:rPr>
          <w:rFonts w:ascii="Times New Roman" w:hAnsi="Times New Roman" w:eastAsia="方正仿宋_GBK"/>
          <w:sz w:val="28"/>
          <w:szCs w:val="28"/>
        </w:rPr>
        <w:t>，</w:t>
      </w:r>
      <w:r>
        <w:rPr>
          <w:rFonts w:hint="eastAsia" w:ascii="Times New Roman" w:hAnsi="Times New Roman" w:eastAsia="方正仿宋_GBK"/>
          <w:sz w:val="28"/>
          <w:szCs w:val="28"/>
        </w:rPr>
        <w:t>甲方可选择退货或要求乙方整改，甲方选择退货的，合同总金额按甲方实际验收合格的货物数量结算；甲方选择由乙方整改的</w:t>
      </w:r>
      <w:r>
        <w:rPr>
          <w:rFonts w:hint="default" w:ascii="Times New Roman" w:hAnsi="Times New Roman" w:eastAsia="方正仿宋_GBK" w:cs="Times New Roman"/>
          <w:sz w:val="28"/>
          <w:szCs w:val="28"/>
          <w:lang w:eastAsia="zh-CN"/>
        </w:rPr>
        <w:t>，乙方必须无偿</w:t>
      </w:r>
      <w:r>
        <w:rPr>
          <w:rFonts w:hint="eastAsia" w:ascii="Times New Roman" w:hAnsi="Times New Roman" w:eastAsia="方正仿宋_GBK" w:cs="Times New Roman"/>
          <w:sz w:val="28"/>
          <w:szCs w:val="28"/>
          <w:lang w:val="en-US" w:eastAsia="zh-CN"/>
        </w:rPr>
        <w:t>进行</w:t>
      </w:r>
      <w:r>
        <w:rPr>
          <w:rFonts w:hint="default" w:ascii="Times New Roman" w:hAnsi="Times New Roman" w:eastAsia="方正仿宋_GBK" w:cs="Times New Roman"/>
          <w:sz w:val="28"/>
          <w:szCs w:val="28"/>
          <w:lang w:eastAsia="zh-CN"/>
        </w:rPr>
        <w:t>整改直至符合</w:t>
      </w:r>
      <w:r>
        <w:rPr>
          <w:rFonts w:hint="eastAsia" w:ascii="Times New Roman" w:hAnsi="Times New Roman" w:eastAsia="方正仿宋_GBK" w:cs="Times New Roman"/>
          <w:sz w:val="28"/>
          <w:szCs w:val="28"/>
          <w:lang w:val="en-US" w:eastAsia="zh-CN"/>
        </w:rPr>
        <w:t>甲方</w:t>
      </w:r>
      <w:r>
        <w:rPr>
          <w:rFonts w:hint="default" w:ascii="Times New Roman" w:hAnsi="Times New Roman" w:eastAsia="方正仿宋_GBK" w:cs="Times New Roman"/>
          <w:sz w:val="28"/>
          <w:szCs w:val="28"/>
          <w:lang w:eastAsia="zh-CN"/>
        </w:rPr>
        <w:t>要求，</w:t>
      </w:r>
      <w:r>
        <w:rPr>
          <w:rFonts w:hint="eastAsia" w:ascii="Times New Roman" w:hAnsi="Times New Roman" w:eastAsia="方正仿宋_GBK" w:cs="Times New Roman"/>
          <w:sz w:val="28"/>
          <w:szCs w:val="28"/>
          <w:lang w:val="en-US" w:eastAsia="zh-CN"/>
        </w:rPr>
        <w:t>并</w:t>
      </w:r>
      <w:r>
        <w:rPr>
          <w:rFonts w:hint="default" w:ascii="Times New Roman" w:hAnsi="Times New Roman" w:eastAsia="方正仿宋_GBK" w:cs="Times New Roman"/>
          <w:sz w:val="28"/>
          <w:szCs w:val="28"/>
          <w:lang w:eastAsia="zh-CN"/>
        </w:rPr>
        <w:t>承担整改过程中所发生的一切费用和甲方的所有经济损失，整改</w:t>
      </w:r>
      <w:r>
        <w:rPr>
          <w:rFonts w:hint="eastAsia" w:ascii="Times New Roman" w:hAnsi="Times New Roman" w:eastAsia="方正仿宋_GBK" w:cs="Times New Roman"/>
          <w:sz w:val="28"/>
          <w:szCs w:val="28"/>
          <w:lang w:val="en-US" w:eastAsia="zh-CN"/>
        </w:rPr>
        <w:t>2次</w:t>
      </w:r>
      <w:r>
        <w:rPr>
          <w:rFonts w:hint="default" w:ascii="Times New Roman" w:hAnsi="Times New Roman" w:eastAsia="方正仿宋_GBK" w:cs="Times New Roman"/>
          <w:sz w:val="28"/>
          <w:szCs w:val="28"/>
          <w:lang w:eastAsia="zh-CN"/>
        </w:rPr>
        <w:t>后</w:t>
      </w:r>
      <w:r>
        <w:rPr>
          <w:rFonts w:hint="eastAsia" w:ascii="Times New Roman" w:hAnsi="Times New Roman" w:eastAsia="方正仿宋_GBK" w:cs="Times New Roman"/>
          <w:sz w:val="28"/>
          <w:szCs w:val="28"/>
          <w:lang w:val="en-US" w:eastAsia="zh-CN"/>
        </w:rPr>
        <w:t>仍</w:t>
      </w:r>
      <w:r>
        <w:rPr>
          <w:rFonts w:hint="default" w:ascii="Times New Roman" w:hAnsi="Times New Roman" w:eastAsia="方正仿宋_GBK" w:cs="Times New Roman"/>
          <w:sz w:val="28"/>
          <w:szCs w:val="28"/>
          <w:lang w:eastAsia="zh-CN"/>
        </w:rPr>
        <w:t>无法达到要求的，甲方有权解除合同并要求乙方支付甲方合同总金额</w:t>
      </w: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lang w:eastAsia="zh-CN"/>
        </w:rPr>
        <w:t>%的违约金</w:t>
      </w:r>
      <w:r>
        <w:rPr>
          <w:rFonts w:hint="eastAsia" w:ascii="Times New Roman" w:hAnsi="Times New Roman" w:eastAsia="方正仿宋_GBK" w:cs="Times New Roman"/>
          <w:sz w:val="28"/>
          <w:szCs w:val="28"/>
          <w:lang w:val="en-US" w:eastAsia="zh-CN"/>
        </w:rPr>
        <w:t>并扣除</w:t>
      </w:r>
      <w:r>
        <w:rPr>
          <w:rFonts w:hint="eastAsia" w:ascii="Times New Roman" w:hAnsi="Times New Roman" w:eastAsia="方正仿宋_GBK"/>
          <w:sz w:val="28"/>
          <w:szCs w:val="28"/>
        </w:rPr>
        <w:t>履约保证金（质保金）</w:t>
      </w:r>
      <w:r>
        <w:rPr>
          <w:rFonts w:hint="eastAsia" w:ascii="Times New Roman" w:hAnsi="Times New Roman" w:eastAsia="方正仿宋_GBK" w:cs="Times New Roman"/>
          <w:sz w:val="28"/>
          <w:szCs w:val="28"/>
          <w:lang w:val="en-US" w:eastAsia="zh-CN"/>
        </w:rPr>
        <w:t>。</w:t>
      </w:r>
      <w:r>
        <w:rPr>
          <w:rFonts w:hint="eastAsia" w:ascii="Times New Roman" w:hAnsi="Times New Roman" w:eastAsia="方正仿宋_GBK"/>
          <w:sz w:val="28"/>
          <w:szCs w:val="28"/>
        </w:rPr>
        <w:t>因整改而超过合同约定供货时间的，乙方应按本合同第九条承担逾期供货违约责任。</w:t>
      </w:r>
      <w:r>
        <w:rPr>
          <w:rFonts w:ascii="Times New Roman" w:hAnsi="Times New Roman"/>
        </w:rPr>
        <w:t xml:space="preserve">                                                                         </w:t>
      </w:r>
    </w:p>
    <w:p w14:paraId="76C90302">
      <w:pPr>
        <w:pStyle w:val="34"/>
        <w:spacing w:line="579" w:lineRule="exact"/>
        <w:contextualSpacing/>
        <w:jc w:val="both"/>
        <w:outlineLvl w:val="0"/>
        <w:rPr>
          <w:rFonts w:ascii="Times New Roman" w:hAnsi="Times New Roman"/>
        </w:rPr>
      </w:pPr>
      <w:bookmarkStart w:id="15" w:name="_Toc21275"/>
      <w:r>
        <w:rPr>
          <w:rFonts w:ascii="Times New Roman" w:hAnsi="Times New Roman" w:eastAsia="黑体"/>
          <w:kern w:val="2"/>
          <w:sz w:val="28"/>
          <w:szCs w:val="28"/>
        </w:rPr>
        <w:t>第七条 包装标准、包装物的供应与回收</w:t>
      </w:r>
      <w:bookmarkEnd w:id="15"/>
    </w:p>
    <w:p w14:paraId="406A90DE">
      <w:pPr>
        <w:pStyle w:val="34"/>
        <w:spacing w:line="579" w:lineRule="exact"/>
        <w:ind w:firstLine="560" w:firstLineChars="200"/>
        <w:contextualSpacing/>
        <w:jc w:val="both"/>
        <w:rPr>
          <w:rFonts w:ascii="Times New Roman" w:hAnsi="Times New Roman" w:eastAsia="方正仿宋_GBK"/>
          <w:sz w:val="28"/>
          <w:szCs w:val="28"/>
          <w:highlight w:val="none"/>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所交付的货品必须包装完整，并采取防潮、防湿、防震、防锈、防腐蚀等措施，以保证在长途运输中经受多次搬运和装卸后，货物完好无损，安全到达目的地。由于采用不充分或不妥善的防护措施造成货物的任何损</w:t>
      </w:r>
      <w:r>
        <w:rPr>
          <w:rFonts w:ascii="Times New Roman" w:hAnsi="Times New Roman" w:eastAsia="方正仿宋_GBK"/>
          <w:sz w:val="28"/>
          <w:szCs w:val="28"/>
          <w:highlight w:val="none"/>
        </w:rPr>
        <w:t>坏、腐蚀或变形，</w:t>
      </w:r>
      <w:r>
        <w:rPr>
          <w:rFonts w:hint="eastAsia" w:ascii="Times New Roman" w:hAnsi="Times New Roman" w:eastAsia="方正仿宋_GBK"/>
          <w:sz w:val="28"/>
          <w:szCs w:val="28"/>
          <w:highlight w:val="none"/>
          <w:lang w:eastAsia="zh-CN"/>
        </w:rPr>
        <w:t>乙方</w:t>
      </w:r>
      <w:r>
        <w:rPr>
          <w:rFonts w:ascii="Times New Roman" w:hAnsi="Times New Roman" w:eastAsia="方正仿宋_GBK"/>
          <w:sz w:val="28"/>
          <w:szCs w:val="28"/>
          <w:highlight w:val="none"/>
        </w:rPr>
        <w:t>应承担由此造成的一切损失。</w:t>
      </w:r>
    </w:p>
    <w:p w14:paraId="1712F6D8">
      <w:pPr>
        <w:pStyle w:val="34"/>
        <w:spacing w:line="579" w:lineRule="exact"/>
        <w:contextualSpacing/>
        <w:jc w:val="both"/>
        <w:outlineLvl w:val="0"/>
        <w:rPr>
          <w:rFonts w:ascii="Times New Roman" w:hAnsi="Times New Roman" w:eastAsia="黑体"/>
          <w:sz w:val="28"/>
          <w:szCs w:val="28"/>
          <w:highlight w:val="none"/>
        </w:rPr>
      </w:pPr>
      <w:bookmarkStart w:id="16" w:name="_Toc14113"/>
      <w:r>
        <w:rPr>
          <w:rFonts w:ascii="Times New Roman" w:hAnsi="Times New Roman" w:eastAsia="黑体"/>
          <w:sz w:val="28"/>
          <w:szCs w:val="28"/>
          <w:highlight w:val="none"/>
        </w:rPr>
        <w:t>第八条 质量保证</w:t>
      </w:r>
      <w:bookmarkEnd w:id="16"/>
    </w:p>
    <w:p w14:paraId="3146C0BA">
      <w:pPr>
        <w:pStyle w:val="34"/>
        <w:spacing w:after="0" w:line="579" w:lineRule="exact"/>
        <w:ind w:firstLine="560" w:firstLineChars="200"/>
        <w:contextualSpacing/>
        <w:jc w:val="both"/>
        <w:rPr>
          <w:rFonts w:ascii="Times New Roman" w:hAnsi="Times New Roman"/>
        </w:rPr>
      </w:pPr>
      <w:r>
        <w:rPr>
          <w:rFonts w:ascii="Times New Roman" w:hAnsi="Times New Roman" w:eastAsia="方正仿宋_GBK"/>
          <w:sz w:val="28"/>
          <w:szCs w:val="28"/>
          <w:highlight w:val="none"/>
        </w:rPr>
        <w:t>质保</w:t>
      </w:r>
      <w:r>
        <w:rPr>
          <w:rFonts w:hint="eastAsia" w:ascii="Times New Roman" w:hAnsi="Times New Roman" w:eastAsia="方正仿宋_GBK"/>
          <w:sz w:val="28"/>
          <w:szCs w:val="28"/>
          <w:highlight w:val="none"/>
          <w:lang w:eastAsia="zh-CN"/>
        </w:rPr>
        <w:t>期</w:t>
      </w:r>
      <w:r>
        <w:rPr>
          <w:rFonts w:hint="eastAsia" w:ascii="Times New Roman" w:hAnsi="Times New Roman" w:eastAsia="方正仿宋_GBK"/>
          <w:sz w:val="28"/>
          <w:szCs w:val="28"/>
          <w:highlight w:val="none"/>
          <w:lang w:val="en-US" w:eastAsia="zh-CN"/>
        </w:rPr>
        <w:t>两</w:t>
      </w:r>
      <w:r>
        <w:rPr>
          <w:rFonts w:hint="eastAsia" w:ascii="Times New Roman" w:hAnsi="Times New Roman" w:eastAsia="方正仿宋_GBK"/>
          <w:sz w:val="28"/>
          <w:szCs w:val="28"/>
          <w:highlight w:val="none"/>
          <w:lang w:eastAsia="zh-CN"/>
        </w:rPr>
        <w:t>年，</w:t>
      </w:r>
      <w:r>
        <w:rPr>
          <w:rFonts w:hint="eastAsia" w:ascii="Times New Roman" w:hAnsi="Times New Roman" w:eastAsia="方正仿宋_GBK"/>
          <w:sz w:val="28"/>
          <w:szCs w:val="28"/>
          <w:highlight w:val="none"/>
          <w:lang w:val="en-US" w:eastAsia="zh-CN"/>
        </w:rPr>
        <w:t>自甲方入库验收合格之日起计算</w:t>
      </w:r>
      <w:r>
        <w:rPr>
          <w:rFonts w:ascii="Times New Roman" w:hAnsi="Times New Roman" w:eastAsia="方正仿宋_GBK"/>
          <w:sz w:val="28"/>
          <w:szCs w:val="28"/>
          <w:highlight w:val="none"/>
        </w:rPr>
        <w:t>。</w:t>
      </w:r>
      <w:r>
        <w:rPr>
          <w:rFonts w:hint="eastAsia" w:ascii="Times New Roman" w:hAnsi="Times New Roman" w:eastAsia="方正仿宋_GBK"/>
          <w:sz w:val="28"/>
          <w:szCs w:val="28"/>
          <w:highlight w:val="none"/>
          <w:lang w:eastAsia="zh-CN"/>
        </w:rPr>
        <w:t>乙方</w:t>
      </w:r>
      <w:r>
        <w:rPr>
          <w:rFonts w:ascii="Times New Roman" w:hAnsi="Times New Roman" w:eastAsia="方正仿宋_GBK"/>
          <w:sz w:val="28"/>
          <w:szCs w:val="28"/>
          <w:highlight w:val="none"/>
        </w:rPr>
        <w:t>保证其供应的本合同标的是全新的，技术水平先进、成熟、质量优良、安</w:t>
      </w:r>
      <w:r>
        <w:rPr>
          <w:rFonts w:ascii="Times New Roman" w:hAnsi="Times New Roman" w:eastAsia="方正仿宋_GBK"/>
          <w:sz w:val="28"/>
          <w:szCs w:val="28"/>
        </w:rPr>
        <w:t>全可靠、经济运行和易于维护。本合同下质量标准为国家标准及相关行业标准（不同标准之间如有冲突，比较严格者为准）。在正常使用过程中，如有产品质量问题，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需依据国家法律法规进行维修或更换</w:t>
      </w:r>
      <w:r>
        <w:rPr>
          <w:rFonts w:hint="eastAsia" w:ascii="Times New Roman" w:hAnsi="Times New Roman" w:eastAsia="方正仿宋_GBK"/>
          <w:sz w:val="28"/>
          <w:szCs w:val="28"/>
        </w:rPr>
        <w:t>，所产生的费用由乙方承担，乙方逾期提供质保服务或提供的质保服务不合格的，甲方可自行委托第三方进行维修，所产生的费用甲方可在质保金中直接扣除，不足部分甲方可继续向乙方追偿</w:t>
      </w:r>
      <w:r>
        <w:rPr>
          <w:rFonts w:ascii="Times New Roman" w:hAnsi="Times New Roman" w:eastAsia="方正仿宋_GBK"/>
          <w:sz w:val="28"/>
          <w:szCs w:val="28"/>
        </w:rPr>
        <w:t xml:space="preserve">。 </w:t>
      </w:r>
      <w:r>
        <w:rPr>
          <w:rFonts w:ascii="Times New Roman" w:hAnsi="Times New Roman"/>
        </w:rPr>
        <w:t xml:space="preserve">                                                                                                                                                                                                                                                                                                                               </w:t>
      </w:r>
    </w:p>
    <w:p w14:paraId="1A0C3757">
      <w:pPr>
        <w:pStyle w:val="34"/>
        <w:numPr>
          <w:ilvl w:val="0"/>
          <w:numId w:val="0"/>
        </w:numPr>
        <w:spacing w:after="0" w:line="579" w:lineRule="exact"/>
        <w:contextualSpacing/>
        <w:jc w:val="both"/>
        <w:outlineLvl w:val="0"/>
        <w:rPr>
          <w:rFonts w:ascii="Times New Roman" w:hAnsi="Times New Roman" w:eastAsia="黑体"/>
          <w:sz w:val="28"/>
          <w:szCs w:val="28"/>
        </w:rPr>
      </w:pPr>
      <w:bookmarkStart w:id="17" w:name="_Toc26316"/>
      <w:r>
        <w:rPr>
          <w:rFonts w:hint="eastAsia" w:ascii="Times New Roman" w:hAnsi="Times New Roman" w:eastAsia="黑体" w:cs="Times New Roman"/>
          <w:sz w:val="28"/>
          <w:szCs w:val="28"/>
          <w:lang w:val="en-US" w:eastAsia="zh-CN" w:bidi="ar-SA"/>
        </w:rPr>
        <w:t>第九条 违约责任</w:t>
      </w:r>
      <w:bookmarkEnd w:id="17"/>
    </w:p>
    <w:p w14:paraId="21D698AB">
      <w:pPr>
        <w:pStyle w:val="34"/>
        <w:spacing w:after="0" w:line="579" w:lineRule="exact"/>
        <w:ind w:firstLine="560" w:firstLineChars="200"/>
        <w:contextualSpacing/>
        <w:jc w:val="both"/>
        <w:rPr>
          <w:rFonts w:hint="eastAsia" w:ascii="Times New Roman" w:hAnsi="Times New Roman" w:eastAsia="方正仿宋_GBK"/>
          <w:sz w:val="28"/>
          <w:szCs w:val="28"/>
          <w:highlight w:val="none"/>
        </w:rPr>
      </w:pP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highlight w:val="none"/>
        </w:rPr>
        <w:t>未能按约定的</w:t>
      </w:r>
      <w:r>
        <w:rPr>
          <w:rFonts w:hint="eastAsia" w:ascii="Times New Roman" w:hAnsi="Times New Roman" w:eastAsia="方正仿宋_GBK"/>
          <w:sz w:val="28"/>
          <w:szCs w:val="28"/>
          <w:highlight w:val="none"/>
          <w:lang w:val="en-US" w:eastAsia="zh-CN"/>
        </w:rPr>
        <w:t>时间交货</w:t>
      </w:r>
      <w:r>
        <w:rPr>
          <w:rFonts w:hint="eastAsia" w:ascii="Times New Roman" w:hAnsi="Times New Roman" w:eastAsia="方正仿宋_GBK"/>
          <w:sz w:val="28"/>
          <w:szCs w:val="28"/>
          <w:highlight w:val="none"/>
        </w:rPr>
        <w:t>，每逾期一天，应向甲方支付合同总金额</w:t>
      </w:r>
      <w:r>
        <w:rPr>
          <w:rFonts w:hint="eastAsia" w:ascii="Times New Roman" w:hAnsi="Times New Roman" w:eastAsia="方正仿宋_GBK"/>
          <w:sz w:val="28"/>
          <w:szCs w:val="28"/>
          <w:highlight w:val="none"/>
          <w:lang w:val="en-US" w:eastAsia="zh-CN"/>
        </w:rPr>
        <w:t>千</w:t>
      </w:r>
      <w:r>
        <w:rPr>
          <w:rFonts w:hint="eastAsia" w:ascii="Times New Roman" w:hAnsi="Times New Roman" w:eastAsia="方正仿宋_GBK"/>
          <w:sz w:val="28"/>
          <w:szCs w:val="28"/>
          <w:highlight w:val="none"/>
        </w:rPr>
        <w:t>分之五的违约金，逾期10天（含）及以上，则</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有权单方</w:t>
      </w:r>
      <w:r>
        <w:rPr>
          <w:rFonts w:hint="eastAsia" w:ascii="Times New Roman" w:hAnsi="Times New Roman" w:eastAsia="方正仿宋_GBK"/>
          <w:sz w:val="28"/>
          <w:szCs w:val="28"/>
          <w:highlight w:val="none"/>
          <w:lang w:val="en-US" w:eastAsia="zh-CN"/>
        </w:rPr>
        <w:t>解除合同</w:t>
      </w:r>
      <w:r>
        <w:rPr>
          <w:rFonts w:hint="eastAsia" w:ascii="Times New Roman" w:hAnsi="Times New Roman" w:eastAsia="方正仿宋_GBK"/>
          <w:sz w:val="28"/>
          <w:szCs w:val="28"/>
          <w:highlight w:val="none"/>
        </w:rPr>
        <w:t>并不再退还履约保证金</w:t>
      </w:r>
      <w:r>
        <w:rPr>
          <w:rFonts w:hint="eastAsia" w:ascii="Times New Roman" w:hAnsi="Times New Roman" w:eastAsia="方正仿宋_GBK"/>
          <w:sz w:val="28"/>
          <w:szCs w:val="28"/>
          <w:lang w:eastAsia="zh-CN"/>
        </w:rPr>
        <w:t>（</w:t>
      </w:r>
      <w:r>
        <w:rPr>
          <w:rFonts w:hint="eastAsia" w:ascii="Times New Roman" w:hAnsi="Times New Roman" w:eastAsia="方正仿宋_GBK"/>
          <w:sz w:val="28"/>
          <w:szCs w:val="28"/>
          <w:lang w:val="en-US" w:eastAsia="zh-CN"/>
        </w:rPr>
        <w:t>质保金）</w:t>
      </w:r>
      <w:r>
        <w:rPr>
          <w:rFonts w:hint="eastAsia" w:ascii="Times New Roman" w:hAnsi="Times New Roman" w:eastAsia="方正仿宋_GBK"/>
          <w:sz w:val="28"/>
          <w:szCs w:val="28"/>
          <w:highlight w:val="none"/>
        </w:rPr>
        <w:t>，</w:t>
      </w: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rPr>
        <w:t>应另行</w:t>
      </w:r>
      <w:r>
        <w:rPr>
          <w:rFonts w:hint="eastAsia" w:ascii="Times New Roman" w:hAnsi="Times New Roman" w:eastAsia="方正仿宋_GBK"/>
          <w:sz w:val="28"/>
          <w:szCs w:val="28"/>
          <w:highlight w:val="none"/>
        </w:rPr>
        <w:t>支付</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合同价</w:t>
      </w:r>
      <w:r>
        <w:rPr>
          <w:rFonts w:hint="eastAsia" w:ascii="Times New Roman" w:hAnsi="Times New Roman" w:eastAsia="方正仿宋_GBK"/>
          <w:sz w:val="28"/>
          <w:szCs w:val="28"/>
          <w:highlight w:val="none"/>
          <w:lang w:val="en-US" w:eastAsia="zh-CN"/>
        </w:rPr>
        <w:t>10</w:t>
      </w:r>
      <w:r>
        <w:rPr>
          <w:rFonts w:hint="eastAsia" w:ascii="Times New Roman" w:hAnsi="Times New Roman" w:eastAsia="方正仿宋_GBK"/>
          <w:sz w:val="28"/>
          <w:szCs w:val="28"/>
          <w:highlight w:val="none"/>
        </w:rPr>
        <w:t>%的违约金。</w:t>
      </w:r>
    </w:p>
    <w:p w14:paraId="29D3D8C5">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ascii="Times New Roman" w:hAnsi="Times New Roman" w:eastAsia="方正仿宋_GBK"/>
          <w:sz w:val="28"/>
          <w:szCs w:val="28"/>
        </w:rPr>
        <w:t xml:space="preserve"> </w:t>
      </w:r>
      <w:r>
        <w:rPr>
          <w:rFonts w:hint="eastAsia" w:ascii="Times New Roman" w:hAnsi="Times New Roman" w:eastAsia="方正仿宋_GBK"/>
          <w:sz w:val="28"/>
          <w:szCs w:val="28"/>
        </w:rPr>
        <w:t>因乙方货物存在产品质量问题，致使甲方在使用过程中产生人身伤害、财产损失的，一切经济与法律责任均由乙方承担，甲方先行赔付的，有权向乙方追偿。</w:t>
      </w:r>
    </w:p>
    <w:p w14:paraId="0CF55334">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rPr>
        <w:t>本合同项下乙方应支付的违约金、赔偿金等，甲方有权直接从应付货款或履约保证金（质保金）中扣除，不足部分有权向乙方追偿。</w:t>
      </w:r>
    </w:p>
    <w:p w14:paraId="22F46103">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rPr>
        <w:t>违约方因违约行为造成守约方损失的，违约方应赔偿守约方的直接经济损失，包括但不限于鉴定费、律师费、诉讼费、保全费、差旅费、赔偿金等。</w:t>
      </w:r>
      <w:r>
        <w:rPr>
          <w:rFonts w:ascii="Times New Roman" w:hAnsi="Times New Roman" w:eastAsia="方正仿宋_GBK"/>
          <w:sz w:val="28"/>
          <w:szCs w:val="28"/>
        </w:rPr>
        <w:t xml:space="preserve">   </w:t>
      </w:r>
      <w:r>
        <w:rPr>
          <w:rFonts w:ascii="Times New Roman" w:hAnsi="Times New Roman"/>
        </w:rPr>
        <w:t xml:space="preserve">                           </w:t>
      </w:r>
    </w:p>
    <w:p w14:paraId="2F7DCDC3">
      <w:pPr>
        <w:pStyle w:val="34"/>
        <w:numPr>
          <w:ilvl w:val="0"/>
          <w:numId w:val="0"/>
        </w:numPr>
        <w:spacing w:after="0" w:line="579" w:lineRule="exact"/>
        <w:contextualSpacing/>
        <w:jc w:val="both"/>
        <w:outlineLvl w:val="0"/>
        <w:rPr>
          <w:rFonts w:hint="eastAsia" w:ascii="Times New Roman" w:hAnsi="Times New Roman" w:eastAsia="方正仿宋_GBK"/>
          <w:sz w:val="28"/>
          <w:szCs w:val="28"/>
          <w:lang w:eastAsia="zh-CN"/>
        </w:rPr>
      </w:pPr>
      <w:bookmarkStart w:id="18" w:name="_Toc13504"/>
      <w:r>
        <w:rPr>
          <w:rFonts w:hint="eastAsia" w:ascii="Times New Roman" w:hAnsi="Times New Roman" w:eastAsia="黑体" w:cs="Times New Roman"/>
          <w:sz w:val="28"/>
          <w:szCs w:val="28"/>
          <w:lang w:val="en-US" w:eastAsia="zh-CN" w:bidi="ar-SA"/>
        </w:rPr>
        <w:t>第十条</w:t>
      </w:r>
      <w:r>
        <w:rPr>
          <w:rFonts w:hint="eastAsia" w:ascii="Times New Roman" w:hAnsi="Times New Roman" w:eastAsia="方正仿宋_GBK" w:cs="Times New Roman"/>
          <w:sz w:val="28"/>
          <w:szCs w:val="28"/>
          <w:lang w:val="en-US" w:eastAsia="zh-CN" w:bidi="ar-SA"/>
        </w:rPr>
        <w:t xml:space="preserve"> </w:t>
      </w:r>
      <w:r>
        <w:rPr>
          <w:rFonts w:ascii="Times New Roman" w:hAnsi="Times New Roman" w:eastAsia="黑体"/>
          <w:sz w:val="28"/>
          <w:szCs w:val="28"/>
        </w:rPr>
        <w:t>本合同解除的条件</w:t>
      </w:r>
      <w:bookmarkEnd w:id="18"/>
    </w:p>
    <w:p w14:paraId="423012C6">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1. 甲乙双方的任何一方由于不可抗力的原因不能履行合同时，应及时向对方通报不能履行或不能完全履行的理由。在取得有关证明后，允许延期履行、部分履行或</w:t>
      </w:r>
      <w:r>
        <w:rPr>
          <w:rFonts w:hint="eastAsia" w:ascii="Times New Roman" w:hAnsi="Times New Roman" w:eastAsia="方正仿宋_GBK"/>
          <w:sz w:val="28"/>
          <w:szCs w:val="28"/>
        </w:rPr>
        <w:t>协商一致</w:t>
      </w:r>
      <w:r>
        <w:rPr>
          <w:rFonts w:hint="eastAsia" w:ascii="Times New Roman" w:hAnsi="Times New Roman" w:eastAsia="方正仿宋_GBK"/>
          <w:sz w:val="28"/>
          <w:szCs w:val="28"/>
          <w:highlight w:val="none"/>
          <w:lang w:eastAsia="zh-CN"/>
        </w:rPr>
        <w:t>解除合同。</w:t>
      </w:r>
    </w:p>
    <w:p w14:paraId="48EB24C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2. 乙方出现下列情形之一的，甲方有权单方解除本合同，且乙方已支付的履约保证金</w:t>
      </w:r>
      <w:r>
        <w:rPr>
          <w:rFonts w:hint="eastAsia" w:ascii="Times New Roman" w:hAnsi="Times New Roman" w:eastAsia="方正仿宋_GBK"/>
          <w:sz w:val="28"/>
          <w:szCs w:val="28"/>
        </w:rPr>
        <w:t>（质保金）</w:t>
      </w:r>
      <w:r>
        <w:rPr>
          <w:rFonts w:hint="eastAsia" w:ascii="Times New Roman" w:hAnsi="Times New Roman" w:eastAsia="方正仿宋_GBK"/>
          <w:sz w:val="28"/>
          <w:szCs w:val="28"/>
          <w:highlight w:val="none"/>
          <w:lang w:eastAsia="zh-CN"/>
        </w:rPr>
        <w:t>不予退还，</w:t>
      </w:r>
      <w:r>
        <w:rPr>
          <w:rFonts w:hint="eastAsia" w:ascii="Times New Roman" w:hAnsi="Times New Roman" w:eastAsia="方正仿宋_GBK"/>
          <w:sz w:val="28"/>
          <w:szCs w:val="28"/>
        </w:rPr>
        <w:t>并要求乙方支付合同总额</w:t>
      </w:r>
      <w:r>
        <w:rPr>
          <w:rFonts w:hint="eastAsia" w:ascii="Times New Roman" w:hAnsi="Times New Roman" w:eastAsia="方正仿宋_GBK"/>
          <w:sz w:val="28"/>
          <w:szCs w:val="28"/>
          <w:lang w:val="en-US" w:eastAsia="zh-CN"/>
        </w:rPr>
        <w:t>10</w:t>
      </w:r>
      <w:r>
        <w:rPr>
          <w:rFonts w:hint="eastAsia" w:ascii="Times New Roman" w:hAnsi="Times New Roman" w:eastAsia="方正仿宋_GBK"/>
          <w:sz w:val="28"/>
          <w:szCs w:val="28"/>
        </w:rPr>
        <w:t>%违约金</w:t>
      </w:r>
      <w:r>
        <w:rPr>
          <w:rFonts w:hint="eastAsia" w:ascii="Times New Roman" w:hAnsi="Times New Roman" w:eastAsia="方正仿宋_GBK"/>
          <w:sz w:val="28"/>
          <w:szCs w:val="28"/>
          <w:highlight w:val="none"/>
          <w:lang w:eastAsia="zh-CN"/>
        </w:rPr>
        <w:t>，</w:t>
      </w:r>
      <w:r>
        <w:rPr>
          <w:rFonts w:hint="eastAsia" w:ascii="Times New Roman" w:hAnsi="Times New Roman" w:eastAsia="方正仿宋_GBK"/>
          <w:sz w:val="28"/>
          <w:szCs w:val="28"/>
        </w:rPr>
        <w:t>同时对</w:t>
      </w:r>
      <w:r>
        <w:rPr>
          <w:rFonts w:hint="eastAsia" w:ascii="Times New Roman" w:hAnsi="Times New Roman" w:eastAsia="方正仿宋_GBK"/>
          <w:sz w:val="28"/>
          <w:szCs w:val="28"/>
          <w:highlight w:val="none"/>
          <w:lang w:eastAsia="zh-CN"/>
        </w:rPr>
        <w:t>甲方</w:t>
      </w:r>
      <w:r>
        <w:rPr>
          <w:rFonts w:hint="eastAsia" w:ascii="Times New Roman" w:hAnsi="Times New Roman" w:eastAsia="方正仿宋_GBK"/>
          <w:sz w:val="28"/>
          <w:szCs w:val="28"/>
        </w:rPr>
        <w:t>造成</w:t>
      </w:r>
      <w:r>
        <w:rPr>
          <w:rFonts w:hint="eastAsia" w:ascii="Times New Roman" w:hAnsi="Times New Roman" w:eastAsia="方正仿宋_GBK"/>
          <w:sz w:val="28"/>
          <w:szCs w:val="28"/>
          <w:highlight w:val="none"/>
          <w:lang w:eastAsia="zh-CN"/>
        </w:rPr>
        <w:t>损失的，甲方有权另行向乙方追偿：</w:t>
      </w:r>
    </w:p>
    <w:p w14:paraId="54C7A3C2">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2.1</w:t>
      </w:r>
      <w:r>
        <w:rPr>
          <w:rFonts w:hint="eastAsia" w:ascii="Times New Roman" w:hAnsi="Times New Roman" w:eastAsia="方正仿宋_GBK"/>
          <w:sz w:val="28"/>
          <w:szCs w:val="28"/>
          <w:highlight w:val="none"/>
          <w:lang w:eastAsia="zh-CN"/>
        </w:rPr>
        <w:t>乙方以书面形式明确表示或以行为表明将不履行本合同主要义务的；</w:t>
      </w:r>
    </w:p>
    <w:p w14:paraId="28B65EA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2.2</w:t>
      </w:r>
      <w:r>
        <w:rPr>
          <w:rFonts w:hint="eastAsia" w:ascii="Times New Roman" w:hAnsi="Times New Roman" w:eastAsia="方正仿宋_GBK"/>
          <w:sz w:val="28"/>
          <w:szCs w:val="28"/>
          <w:highlight w:val="none"/>
          <w:lang w:eastAsia="zh-CN"/>
        </w:rPr>
        <w:t>在合同履约过程中，乙方提供的服务/交付的</w:t>
      </w:r>
      <w:r>
        <w:rPr>
          <w:rFonts w:hint="eastAsia" w:ascii="Times New Roman" w:hAnsi="Times New Roman" w:eastAsia="方正仿宋_GBK"/>
          <w:sz w:val="28"/>
          <w:szCs w:val="28"/>
          <w:highlight w:val="none"/>
          <w:lang w:val="en-US" w:eastAsia="zh-CN"/>
        </w:rPr>
        <w:t>产品</w:t>
      </w:r>
      <w:r>
        <w:rPr>
          <w:rFonts w:hint="eastAsia" w:ascii="Times New Roman" w:hAnsi="Times New Roman" w:eastAsia="方正仿宋_GBK"/>
          <w:sz w:val="28"/>
          <w:szCs w:val="28"/>
          <w:highlight w:val="none"/>
          <w:lang w:eastAsia="zh-CN"/>
        </w:rPr>
        <w:t>存在严重质量问题或重大缺陷，经甲方书面要求限期改进后，乙方仍未完成改进或改进后仍无法达到合同约定标准，导致合同目的无法实现的；</w:t>
      </w:r>
    </w:p>
    <w:p w14:paraId="63AA7C6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2.3</w:t>
      </w:r>
      <w:r>
        <w:rPr>
          <w:rFonts w:hint="eastAsia" w:ascii="Times New Roman" w:hAnsi="Times New Roman" w:eastAsia="方正仿宋_GBK"/>
          <w:sz w:val="28"/>
          <w:szCs w:val="28"/>
          <w:highlight w:val="none"/>
          <w:lang w:eastAsia="zh-CN"/>
        </w:rPr>
        <w:t>乙方实施违反法律、行政法规强制性规定的行为，且该行为与本合同履行直接相关，经查证属实的；</w:t>
      </w:r>
    </w:p>
    <w:p w14:paraId="1D35D79F">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2.4</w:t>
      </w:r>
      <w:r>
        <w:rPr>
          <w:rFonts w:hint="eastAsia" w:ascii="Times New Roman" w:hAnsi="Times New Roman" w:eastAsia="方正仿宋_GBK"/>
          <w:sz w:val="28"/>
          <w:szCs w:val="28"/>
          <w:highlight w:val="none"/>
          <w:lang w:eastAsia="zh-CN"/>
        </w:rPr>
        <w:t>乙方的履约行为严重损害国家利益、社会公共利益或甲方合法权益的；</w:t>
      </w:r>
    </w:p>
    <w:p w14:paraId="3413E91B">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2.5</w:t>
      </w:r>
      <w:r>
        <w:rPr>
          <w:rFonts w:hint="eastAsia" w:ascii="Times New Roman" w:hAnsi="Times New Roman" w:eastAsia="方正仿宋_GBK"/>
          <w:sz w:val="28"/>
          <w:szCs w:val="28"/>
          <w:highlight w:val="none"/>
          <w:lang w:eastAsia="zh-CN"/>
        </w:rPr>
        <w:t>乙方未按合同约定的期限、要求履行主要义务</w:t>
      </w:r>
      <w:r>
        <w:rPr>
          <w:rFonts w:hint="eastAsia" w:ascii="Times New Roman" w:hAnsi="Times New Roman" w:eastAsia="方正仿宋_GBK"/>
          <w:sz w:val="28"/>
          <w:szCs w:val="28"/>
        </w:rPr>
        <w:t>（含质保期未提供质保服务或提供的质保服务不合格等）</w:t>
      </w:r>
      <w:r>
        <w:rPr>
          <w:rFonts w:hint="eastAsia" w:ascii="Times New Roman" w:hAnsi="Times New Roman" w:eastAsia="方正仿宋_GBK"/>
          <w:sz w:val="28"/>
          <w:szCs w:val="28"/>
          <w:highlight w:val="none"/>
          <w:lang w:eastAsia="zh-CN"/>
        </w:rPr>
        <w:t>，经甲方催告后</w:t>
      </w:r>
      <w:r>
        <w:rPr>
          <w:rFonts w:hint="eastAsia" w:ascii="Times New Roman" w:hAnsi="Times New Roman" w:eastAsia="方正仿宋_GBK"/>
          <w:sz w:val="28"/>
          <w:szCs w:val="28"/>
          <w:highlight w:val="none"/>
          <w:lang w:val="en-US" w:eastAsia="zh-CN"/>
        </w:rPr>
        <w:t>5日</w:t>
      </w:r>
      <w:r>
        <w:rPr>
          <w:rFonts w:hint="eastAsia" w:ascii="Times New Roman" w:hAnsi="Times New Roman" w:eastAsia="方正仿宋_GBK"/>
          <w:sz w:val="28"/>
          <w:szCs w:val="28"/>
          <w:highlight w:val="none"/>
          <w:lang w:eastAsia="zh-CN"/>
        </w:rPr>
        <w:t>仍未纠正</w:t>
      </w:r>
      <w:r>
        <w:rPr>
          <w:rFonts w:hint="eastAsia" w:ascii="Times New Roman" w:hAnsi="Times New Roman" w:eastAsia="方正仿宋_GBK"/>
          <w:sz w:val="28"/>
          <w:szCs w:val="28"/>
        </w:rPr>
        <w:t>或累计发生3次（含）以上</w:t>
      </w:r>
      <w:r>
        <w:rPr>
          <w:rFonts w:hint="eastAsia" w:ascii="Times New Roman" w:hAnsi="Times New Roman" w:eastAsia="方正仿宋_GBK"/>
          <w:sz w:val="28"/>
          <w:szCs w:val="28"/>
          <w:highlight w:val="none"/>
          <w:lang w:eastAsia="zh-CN"/>
        </w:rPr>
        <w:t>的；</w:t>
      </w:r>
    </w:p>
    <w:p w14:paraId="0F2D441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2.6其他本合同规定的相应条款；</w:t>
      </w:r>
    </w:p>
    <w:p w14:paraId="0FC151AD">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本合同在双方责任、义务履行完毕后终止。</w:t>
      </w:r>
      <w:r>
        <w:rPr>
          <w:rFonts w:ascii="Times New Roman" w:hAnsi="Times New Roman"/>
        </w:rPr>
        <w:t xml:space="preserve">                                                                                                                                            </w:t>
      </w:r>
    </w:p>
    <w:p w14:paraId="702BDF54">
      <w:pPr>
        <w:pStyle w:val="34"/>
        <w:spacing w:after="0" w:line="579" w:lineRule="exact"/>
        <w:contextualSpacing/>
        <w:jc w:val="both"/>
        <w:outlineLvl w:val="0"/>
        <w:rPr>
          <w:rFonts w:ascii="Times New Roman" w:hAnsi="Times New Roman" w:eastAsia="黑体"/>
          <w:sz w:val="28"/>
          <w:szCs w:val="28"/>
        </w:rPr>
      </w:pPr>
      <w:bookmarkStart w:id="19" w:name="_Toc9078"/>
      <w:r>
        <w:rPr>
          <w:rFonts w:ascii="Times New Roman" w:hAnsi="Times New Roman" w:eastAsia="黑体"/>
          <w:sz w:val="28"/>
          <w:szCs w:val="28"/>
        </w:rPr>
        <w:t xml:space="preserve">第十一条 </w:t>
      </w:r>
      <w:r>
        <w:rPr>
          <w:rFonts w:hint="eastAsia" w:ascii="Times New Roman" w:hAnsi="Times New Roman" w:eastAsia="黑体"/>
          <w:sz w:val="28"/>
          <w:szCs w:val="28"/>
        </w:rPr>
        <w:t>本合同未尽事宜</w:t>
      </w:r>
      <w:bookmarkEnd w:id="19"/>
    </w:p>
    <w:p w14:paraId="03FE0EBF">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lang w:eastAsia="zh-CN"/>
        </w:rPr>
        <w:t>按照《中华人民共和国</w:t>
      </w:r>
      <w:r>
        <w:rPr>
          <w:rFonts w:ascii="Times New Roman" w:hAnsi="Times New Roman" w:eastAsia="方正仿宋_GBK"/>
          <w:sz w:val="28"/>
          <w:szCs w:val="28"/>
        </w:rPr>
        <w:t>民法典》相关条款 。</w:t>
      </w:r>
      <w:r>
        <w:rPr>
          <w:rFonts w:ascii="Times New Roman" w:hAnsi="Times New Roman"/>
        </w:rPr>
        <w:t xml:space="preserve">                                </w:t>
      </w:r>
    </w:p>
    <w:p w14:paraId="2C05E5DF">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bookmarkStart w:id="20" w:name="_Toc16211"/>
      <w:r>
        <w:rPr>
          <w:rFonts w:hint="eastAsia" w:ascii="Times New Roman" w:hAnsi="Times New Roman" w:eastAsia="黑体" w:cs="Times New Roman"/>
          <w:sz w:val="28"/>
          <w:szCs w:val="28"/>
          <w:lang w:val="en-US" w:eastAsia="zh-CN" w:bidi="ar-SA"/>
        </w:rPr>
        <w:t xml:space="preserve">第十二条 </w:t>
      </w:r>
      <w:r>
        <w:rPr>
          <w:rFonts w:ascii="Times New Roman" w:hAnsi="Times New Roman" w:eastAsia="黑体"/>
          <w:sz w:val="28"/>
          <w:szCs w:val="28"/>
        </w:rPr>
        <w:t>合同争议的解决方式</w:t>
      </w:r>
      <w:bookmarkEnd w:id="20"/>
    </w:p>
    <w:p w14:paraId="69108DBD">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本合同在履行过程中发生的争议，由双方当事人协商解决；也可由当地工商行政管理部门调解；协商或调解不成的，依法向</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 xml:space="preserve">所在地人民法院起诉。   </w:t>
      </w:r>
    </w:p>
    <w:p w14:paraId="74E78C5A">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bookmarkStart w:id="21" w:name="_Toc7857"/>
      <w:r>
        <w:rPr>
          <w:rFonts w:hint="eastAsia" w:ascii="Times New Roman" w:hAnsi="Times New Roman" w:eastAsia="黑体" w:cs="Times New Roman"/>
          <w:sz w:val="28"/>
          <w:szCs w:val="28"/>
          <w:lang w:val="en-US" w:eastAsia="zh-CN" w:bidi="ar-SA"/>
        </w:rPr>
        <w:t xml:space="preserve">第十三条 </w:t>
      </w:r>
      <w:r>
        <w:rPr>
          <w:rFonts w:ascii="Times New Roman" w:hAnsi="Times New Roman" w:eastAsia="黑体"/>
          <w:sz w:val="28"/>
          <w:szCs w:val="28"/>
        </w:rPr>
        <w:t>售后要求</w:t>
      </w:r>
      <w:bookmarkEnd w:id="21"/>
    </w:p>
    <w:p w14:paraId="5B2F5BC0">
      <w:pPr>
        <w:pStyle w:val="34"/>
        <w:spacing w:after="0"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必须满足</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售后服务要求。如产品使用过</w:t>
      </w:r>
      <w:r>
        <w:rPr>
          <w:rFonts w:hint="eastAsia" w:ascii="Times New Roman" w:hAnsi="Times New Roman" w:eastAsia="方正仿宋_GBK"/>
          <w:sz w:val="28"/>
          <w:szCs w:val="28"/>
          <w:lang w:eastAsia="zh-CN"/>
        </w:rPr>
        <w:t>程中</w:t>
      </w:r>
      <w:r>
        <w:rPr>
          <w:rFonts w:ascii="Times New Roman" w:hAnsi="Times New Roman" w:eastAsia="方正仿宋_GBK"/>
          <w:sz w:val="28"/>
          <w:szCs w:val="28"/>
        </w:rPr>
        <w:t>发生问题，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须在接到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通知后24小时内做出书面答复并提供解决方案。若需要派遣技术人员，则应在接到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通知后48小时内派人员到达现场进行免费指导解决问题。</w:t>
      </w:r>
    </w:p>
    <w:p w14:paraId="7679766D">
      <w:pPr>
        <w:pStyle w:val="34"/>
        <w:spacing w:after="0" w:line="579" w:lineRule="exact"/>
        <w:ind w:firstLine="560" w:firstLineChars="200"/>
        <w:contextualSpacing/>
        <w:jc w:val="both"/>
        <w:rPr>
          <w:rFonts w:hint="eastAsia" w:ascii="Times New Roman" w:hAnsi="Times New Roman" w:eastAsia="方正仿宋_GBK"/>
          <w:sz w:val="28"/>
          <w:szCs w:val="28"/>
          <w:lang w:eastAsia="zh-CN"/>
        </w:rPr>
      </w:pP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不再对任何售后服务进行付费。</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的派遣人员产生的一切费用由</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承担</w:t>
      </w:r>
      <w:r>
        <w:rPr>
          <w:rFonts w:hint="eastAsia" w:ascii="Times New Roman" w:hAnsi="Times New Roman" w:eastAsia="方正仿宋_GBK"/>
          <w:sz w:val="28"/>
          <w:szCs w:val="28"/>
          <w:lang w:eastAsia="zh-CN"/>
        </w:rPr>
        <w:t>。</w:t>
      </w:r>
    </w:p>
    <w:p w14:paraId="5F73ADAD">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bookmarkStart w:id="22" w:name="_Toc26341"/>
      <w:r>
        <w:rPr>
          <w:rFonts w:hint="eastAsia" w:ascii="Times New Roman" w:hAnsi="Times New Roman" w:eastAsia="黑体" w:cs="Times New Roman"/>
          <w:sz w:val="28"/>
          <w:szCs w:val="28"/>
          <w:lang w:val="en-US" w:eastAsia="zh-CN" w:bidi="ar-SA"/>
        </w:rPr>
        <w:t xml:space="preserve">第十四条 </w:t>
      </w:r>
      <w:r>
        <w:rPr>
          <w:rFonts w:ascii="Times New Roman" w:hAnsi="Times New Roman" w:eastAsia="黑体"/>
          <w:sz w:val="28"/>
          <w:szCs w:val="28"/>
        </w:rPr>
        <w:t>其他要求</w:t>
      </w:r>
      <w:bookmarkEnd w:id="22"/>
    </w:p>
    <w:p w14:paraId="786B33D9">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本合同一式六份，</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五份；</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一份，签章后生效。</w:t>
      </w:r>
    </w:p>
    <w:p w14:paraId="56EB3E8B">
      <w:pPr>
        <w:pStyle w:val="34"/>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r>
        <w:rPr>
          <w:rFonts w:hint="eastAsia" w:ascii="方正仿宋_GBK" w:hAnsi="方正仿宋_GBK" w:eastAsia="方正仿宋_GBK" w:cs="方正仿宋_GBK"/>
          <w:sz w:val="28"/>
          <w:szCs w:val="28"/>
        </w:rPr>
        <w:br w:type="page"/>
      </w:r>
      <w:bookmarkStart w:id="23" w:name="_Toc7633"/>
      <w:r>
        <w:rPr>
          <w:rFonts w:hint="eastAsia" w:ascii="Times New Roman" w:hAnsi="Times New Roman" w:eastAsia="方正仿宋_GBK" w:cs="Times New Roman"/>
          <w:b/>
          <w:bCs/>
          <w:sz w:val="28"/>
          <w:szCs w:val="28"/>
          <w:highlight w:val="none"/>
          <w:lang w:val="en-US" w:eastAsia="zh-CN"/>
        </w:rPr>
        <w:t>附件：</w:t>
      </w:r>
      <w:bookmarkEnd w:id="23"/>
    </w:p>
    <w:p w14:paraId="4ED188FA">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680823BA">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29AC2F4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超滤膜采购项目</w:t>
      </w:r>
    </w:p>
    <w:p w14:paraId="5BF27F0E">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3B0C6F86">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23A184F8">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3396A70F">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41CA0BED">
      <w:pPr>
        <w:pStyle w:val="34"/>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5F35611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2E7EA6D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445E1B64">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14B227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528C214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216B087B">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05413C5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608528D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41C126F2">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1F2E2E4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7540230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650C73F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7A8A03C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5748F48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721334D7">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052A79F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7A950F7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6BC0231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7F42B54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7F81918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35911D4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本责任书的有效期为双方签署之日起至该服务项目质保期结束时止。</w:t>
      </w:r>
    </w:p>
    <w:p w14:paraId="20F34458">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w:t>
      </w:r>
      <w:r>
        <w:rPr>
          <w:rFonts w:hint="eastAsia" w:ascii="Times New Roman" w:hAnsi="Times New Roman" w:eastAsia="方正仿宋_GBK" w:cs="Times New Roman"/>
          <w:sz w:val="28"/>
          <w:szCs w:val="28"/>
          <w:highlight w:val="none"/>
          <w:lang w:val="en-US" w:eastAsia="zh-CN"/>
        </w:rPr>
        <w:t>六</w:t>
      </w:r>
      <w:r>
        <w:rPr>
          <w:rFonts w:hint="default" w:ascii="Times New Roman" w:hAnsi="Times New Roman" w:eastAsia="方正仿宋_GBK" w:cs="Times New Roman"/>
          <w:sz w:val="28"/>
          <w:szCs w:val="28"/>
          <w:highlight w:val="none"/>
          <w:lang w:val="en-US" w:eastAsia="zh-CN"/>
        </w:rPr>
        <w:t>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A29045E">
      <w:pPr>
        <w:pStyle w:val="36"/>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7D2C6DA2">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53B6CF9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292D77D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5F472F65">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66FD5BB8">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60DC584E">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eastAsia"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69456BD">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7DE9D414">
      <w:pPr>
        <w:pStyle w:val="4"/>
        <w:numPr>
          <w:ilvl w:val="0"/>
          <w:numId w:val="0"/>
        </w:numPr>
        <w:jc w:val="center"/>
        <w:rPr>
          <w:rFonts w:hint="eastAsia" w:ascii="仿宋" w:hAnsi="仿宋" w:eastAsia="仿宋" w:cs="仿宋"/>
          <w:snapToGrid w:val="0"/>
          <w:sz w:val="44"/>
          <w:szCs w:val="44"/>
        </w:rPr>
      </w:pPr>
      <w:bookmarkStart w:id="24" w:name="_Toc17193"/>
      <w:r>
        <w:rPr>
          <w:rFonts w:hint="eastAsia" w:ascii="仿宋" w:hAnsi="仿宋" w:eastAsia="仿宋" w:cs="仿宋"/>
          <w:snapToGrid w:val="0"/>
          <w:sz w:val="44"/>
          <w:szCs w:val="44"/>
        </w:rPr>
        <w:t>第</w:t>
      </w:r>
      <w:r>
        <w:rPr>
          <w:rFonts w:hint="eastAsia" w:ascii="仿宋" w:hAnsi="仿宋" w:eastAsia="仿宋" w:cs="仿宋"/>
          <w:snapToGrid w:val="0"/>
          <w:sz w:val="44"/>
          <w:szCs w:val="44"/>
          <w:lang w:eastAsia="zh-CN"/>
        </w:rPr>
        <w:t>五</w:t>
      </w:r>
      <w:r>
        <w:rPr>
          <w:rFonts w:hint="eastAsia" w:ascii="仿宋" w:hAnsi="仿宋" w:eastAsia="仿宋" w:cs="仿宋"/>
          <w:snapToGrid w:val="0"/>
          <w:sz w:val="44"/>
          <w:szCs w:val="44"/>
        </w:rPr>
        <w:t>部分    报价文件格式</w:t>
      </w:r>
      <w:bookmarkEnd w:id="12"/>
      <w:bookmarkEnd w:id="24"/>
    </w:p>
    <w:p w14:paraId="43C9EF44">
      <w:pPr>
        <w:spacing w:line="480" w:lineRule="auto"/>
        <w:jc w:val="right"/>
        <w:rPr>
          <w:rFonts w:hint="eastAsia" w:ascii="仿宋" w:hAnsi="仿宋" w:eastAsia="仿宋" w:cs="仿宋"/>
          <w:sz w:val="32"/>
        </w:rPr>
      </w:pPr>
    </w:p>
    <w:p w14:paraId="6D16F87F">
      <w:pPr>
        <w:rPr>
          <w:rFonts w:hint="eastAsia" w:ascii="仿宋" w:hAnsi="仿宋" w:eastAsia="仿宋" w:cs="仿宋"/>
          <w:sz w:val="44"/>
        </w:rPr>
      </w:pPr>
    </w:p>
    <w:p w14:paraId="3EFA8C98">
      <w:pPr>
        <w:spacing w:line="360" w:lineRule="auto"/>
        <w:jc w:val="center"/>
        <w:rPr>
          <w:rFonts w:hint="eastAsia" w:ascii="仿宋" w:hAnsi="仿宋" w:eastAsia="仿宋" w:cs="仿宋"/>
          <w:sz w:val="52"/>
          <w:highlight w:val="none"/>
          <w:lang w:val="en-US" w:eastAsia="zh-CN"/>
        </w:rPr>
      </w:pPr>
      <w:r>
        <w:rPr>
          <w:rFonts w:hint="eastAsia" w:ascii="仿宋" w:hAnsi="仿宋" w:eastAsia="仿宋" w:cs="仿宋"/>
          <w:sz w:val="52"/>
          <w:highlight w:val="none"/>
          <w:lang w:val="en-US" w:eastAsia="zh-CN"/>
        </w:rPr>
        <w:t>绍兴市再生能源发展有限公司</w:t>
      </w:r>
    </w:p>
    <w:p w14:paraId="1BF065C3">
      <w:pPr>
        <w:spacing w:line="360" w:lineRule="auto"/>
        <w:jc w:val="center"/>
        <w:rPr>
          <w:rFonts w:hint="eastAsia" w:ascii="仿宋" w:hAnsi="仿宋" w:eastAsia="仿宋" w:cs="仿宋"/>
          <w:sz w:val="52"/>
          <w:highlight w:val="none"/>
        </w:rPr>
      </w:pPr>
      <w:r>
        <w:rPr>
          <w:rFonts w:hint="eastAsia" w:ascii="仿宋" w:hAnsi="仿宋" w:eastAsia="仿宋" w:cs="仿宋"/>
          <w:sz w:val="52"/>
          <w:highlight w:val="none"/>
          <w:lang w:val="en-US" w:eastAsia="zh-CN"/>
        </w:rPr>
        <w:t>超滤膜采购项目</w:t>
      </w:r>
    </w:p>
    <w:p w14:paraId="43E2F06B">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SX-CG-CL-2607018</w:t>
      </w:r>
    </w:p>
    <w:p w14:paraId="6F7EC41B">
      <w:pPr>
        <w:rPr>
          <w:rFonts w:hint="eastAsia" w:ascii="仿宋" w:hAnsi="仿宋" w:eastAsia="仿宋" w:cs="仿宋"/>
          <w:sz w:val="44"/>
        </w:rPr>
      </w:pPr>
    </w:p>
    <w:p w14:paraId="1B8AF216">
      <w:pPr>
        <w:rPr>
          <w:rFonts w:hint="eastAsia" w:ascii="仿宋" w:hAnsi="仿宋" w:eastAsia="仿宋" w:cs="仿宋"/>
          <w:sz w:val="44"/>
        </w:rPr>
      </w:pPr>
    </w:p>
    <w:p w14:paraId="258D6BE4">
      <w:pPr>
        <w:rPr>
          <w:rFonts w:hint="eastAsia" w:ascii="仿宋" w:hAnsi="仿宋" w:eastAsia="仿宋" w:cs="仿宋"/>
          <w:sz w:val="84"/>
        </w:rPr>
      </w:pPr>
    </w:p>
    <w:p w14:paraId="14083582">
      <w:pPr>
        <w:jc w:val="center"/>
        <w:rPr>
          <w:rFonts w:hint="eastAsia" w:ascii="仿宋" w:hAnsi="仿宋" w:eastAsia="仿宋" w:cs="仿宋"/>
          <w:sz w:val="84"/>
        </w:rPr>
      </w:pPr>
      <w:r>
        <w:rPr>
          <w:rFonts w:hint="eastAsia" w:ascii="仿宋" w:hAnsi="仿宋" w:eastAsia="仿宋" w:cs="仿宋"/>
          <w:sz w:val="84"/>
        </w:rPr>
        <w:t>报价文件</w:t>
      </w:r>
    </w:p>
    <w:p w14:paraId="763E3073">
      <w:pPr>
        <w:jc w:val="center"/>
        <w:rPr>
          <w:rFonts w:hint="eastAsia" w:ascii="仿宋" w:hAnsi="仿宋" w:eastAsia="仿宋" w:cs="仿宋"/>
          <w:sz w:val="24"/>
        </w:rPr>
      </w:pPr>
    </w:p>
    <w:p w14:paraId="1DF28980">
      <w:pPr>
        <w:jc w:val="center"/>
        <w:rPr>
          <w:rFonts w:hint="eastAsia" w:ascii="仿宋" w:hAnsi="仿宋" w:eastAsia="仿宋" w:cs="仿宋"/>
          <w:sz w:val="24"/>
        </w:rPr>
      </w:pPr>
    </w:p>
    <w:p w14:paraId="77C3BD23">
      <w:pPr>
        <w:spacing w:line="480" w:lineRule="auto"/>
        <w:jc w:val="center"/>
        <w:rPr>
          <w:rFonts w:hint="eastAsia" w:ascii="仿宋" w:hAnsi="仿宋" w:eastAsia="仿宋" w:cs="仿宋"/>
          <w:sz w:val="24"/>
        </w:rPr>
      </w:pPr>
    </w:p>
    <w:p w14:paraId="53DBF7AE">
      <w:pPr>
        <w:spacing w:line="480" w:lineRule="auto"/>
        <w:jc w:val="center"/>
        <w:rPr>
          <w:rFonts w:hint="eastAsia" w:ascii="仿宋" w:hAnsi="仿宋" w:eastAsia="仿宋" w:cs="仿宋"/>
          <w:sz w:val="24"/>
        </w:rPr>
      </w:pPr>
    </w:p>
    <w:p w14:paraId="5B6FC157">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29704C65">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0298C5E0">
      <w:pPr>
        <w:adjustRightInd w:val="0"/>
        <w:snapToGrid w:val="0"/>
        <w:spacing w:line="360" w:lineRule="auto"/>
        <w:ind w:right="480"/>
        <w:jc w:val="left"/>
        <w:rPr>
          <w:rFonts w:hint="eastAsia" w:ascii="仿宋" w:hAnsi="仿宋" w:eastAsia="仿宋" w:cs="仿宋"/>
          <w:sz w:val="30"/>
        </w:rPr>
      </w:pPr>
      <w:r>
        <w:rPr>
          <w:rStyle w:val="20"/>
          <w:rFonts w:hint="eastAsia" w:ascii="仿宋" w:hAnsi="仿宋" w:eastAsia="仿宋" w:cs="仿宋"/>
          <w:sz w:val="30"/>
        </w:rPr>
        <w:br w:type="page"/>
      </w:r>
    </w:p>
    <w:p w14:paraId="08C2AAB6">
      <w:pPr>
        <w:adjustRightInd w:val="0"/>
        <w:snapToGrid w:val="0"/>
        <w:spacing w:line="360" w:lineRule="auto"/>
        <w:ind w:right="480"/>
        <w:jc w:val="left"/>
        <w:rPr>
          <w:rStyle w:val="20"/>
          <w:rFonts w:hint="eastAsia" w:ascii="仿宋" w:hAnsi="仿宋" w:eastAsia="仿宋" w:cs="仿宋"/>
          <w:sz w:val="30"/>
        </w:rPr>
        <w:sectPr>
          <w:footerReference r:id="rId3" w:type="default"/>
          <w:pgSz w:w="11906" w:h="16838"/>
          <w:pgMar w:top="1701" w:right="1418" w:bottom="1134" w:left="1418" w:header="851" w:footer="992" w:gutter="0"/>
          <w:cols w:space="720" w:num="1"/>
          <w:titlePg/>
          <w:docGrid w:linePitch="312" w:charSpace="0"/>
        </w:sectPr>
      </w:pPr>
    </w:p>
    <w:p w14:paraId="743E8D4B">
      <w:pPr>
        <w:jc w:val="left"/>
        <w:outlineLvl w:val="0"/>
        <w:rPr>
          <w:rStyle w:val="20"/>
          <w:rFonts w:hint="eastAsia" w:ascii="仿宋" w:hAnsi="仿宋" w:eastAsia="仿宋" w:cs="仿宋"/>
          <w:sz w:val="30"/>
        </w:rPr>
      </w:pPr>
      <w:bookmarkStart w:id="25" w:name="_Toc19129"/>
      <w:r>
        <w:rPr>
          <w:rStyle w:val="20"/>
          <w:rFonts w:hint="eastAsia" w:ascii="仿宋" w:hAnsi="仿宋" w:eastAsia="仿宋" w:cs="仿宋"/>
          <w:sz w:val="30"/>
        </w:rPr>
        <w:t>附件</w:t>
      </w:r>
      <w:r>
        <w:rPr>
          <w:rStyle w:val="20"/>
          <w:rFonts w:hint="eastAsia" w:ascii="仿宋" w:hAnsi="仿宋" w:eastAsia="仿宋" w:cs="仿宋"/>
          <w:sz w:val="30"/>
          <w:lang w:val="en-US"/>
        </w:rPr>
        <w:t>一：</w:t>
      </w:r>
      <w:bookmarkEnd w:id="25"/>
      <w:r>
        <w:rPr>
          <w:rStyle w:val="20"/>
          <w:rFonts w:hint="eastAsia" w:ascii="仿宋" w:hAnsi="仿宋" w:eastAsia="仿宋" w:cs="仿宋"/>
          <w:sz w:val="30"/>
        </w:rPr>
        <w:t xml:space="preserve">  </w:t>
      </w:r>
    </w:p>
    <w:p w14:paraId="0B349F5C">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7CC3635A">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1D2E1BA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超滤膜采购 </w:t>
      </w:r>
      <w:r>
        <w:rPr>
          <w:rFonts w:hint="eastAsia" w:ascii="仿宋" w:hAnsi="仿宋" w:eastAsia="仿宋" w:cs="仿宋"/>
          <w:sz w:val="30"/>
          <w:szCs w:val="30"/>
          <w:u w:val="none"/>
          <w:lang w:val="en-US" w:eastAsia="zh-CN"/>
        </w:rPr>
        <w:t>项目。</w:t>
      </w:r>
    </w:p>
    <w:tbl>
      <w:tblPr>
        <w:tblStyle w:val="13"/>
        <w:tblW w:w="5534" w:type="pct"/>
        <w:jc w:val="center"/>
        <w:tblLayout w:type="fixed"/>
        <w:tblCellMar>
          <w:top w:w="0" w:type="dxa"/>
          <w:left w:w="108" w:type="dxa"/>
          <w:bottom w:w="0" w:type="dxa"/>
          <w:right w:w="108" w:type="dxa"/>
        </w:tblCellMar>
      </w:tblPr>
      <w:tblGrid>
        <w:gridCol w:w="739"/>
        <w:gridCol w:w="1291"/>
        <w:gridCol w:w="1441"/>
        <w:gridCol w:w="628"/>
        <w:gridCol w:w="677"/>
        <w:gridCol w:w="1140"/>
        <w:gridCol w:w="2288"/>
        <w:gridCol w:w="1005"/>
        <w:gridCol w:w="1072"/>
      </w:tblGrid>
      <w:tr w14:paraId="4BC96952">
        <w:tblPrEx>
          <w:tblCellMar>
            <w:top w:w="0" w:type="dxa"/>
            <w:left w:w="108" w:type="dxa"/>
            <w:bottom w:w="0" w:type="dxa"/>
            <w:right w:w="108" w:type="dxa"/>
          </w:tblCellMar>
        </w:tblPrEx>
        <w:trPr>
          <w:trHeight w:val="467" w:hRule="atLeast"/>
          <w:jc w:val="center"/>
        </w:trPr>
        <w:tc>
          <w:tcPr>
            <w:tcW w:w="359" w:type="pct"/>
            <w:tcBorders>
              <w:top w:val="single" w:color="000000" w:sz="4" w:space="0"/>
              <w:left w:val="single" w:color="000000" w:sz="4" w:space="0"/>
              <w:bottom w:val="single" w:color="000000" w:sz="4" w:space="0"/>
              <w:right w:val="single" w:color="000000" w:sz="4" w:space="0"/>
            </w:tcBorders>
            <w:noWrap/>
            <w:vAlign w:val="center"/>
          </w:tcPr>
          <w:p w14:paraId="605260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627" w:type="pct"/>
            <w:tcBorders>
              <w:top w:val="single" w:color="000000" w:sz="4" w:space="0"/>
              <w:left w:val="single" w:color="000000" w:sz="4" w:space="0"/>
              <w:bottom w:val="single" w:color="000000" w:sz="4" w:space="0"/>
              <w:right w:val="single" w:color="000000" w:sz="4" w:space="0"/>
            </w:tcBorders>
            <w:noWrap/>
            <w:vAlign w:val="center"/>
          </w:tcPr>
          <w:p w14:paraId="3AAEBF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60214B02">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305" w:type="pct"/>
            <w:tcBorders>
              <w:top w:val="single" w:color="000000" w:sz="4" w:space="0"/>
              <w:left w:val="single" w:color="000000" w:sz="4" w:space="0"/>
              <w:bottom w:val="single" w:color="000000" w:sz="4" w:space="0"/>
              <w:right w:val="single" w:color="000000" w:sz="4" w:space="0"/>
            </w:tcBorders>
            <w:noWrap/>
            <w:vAlign w:val="center"/>
          </w:tcPr>
          <w:p w14:paraId="3B7D49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329" w:type="pct"/>
            <w:tcBorders>
              <w:top w:val="single" w:color="000000" w:sz="4" w:space="0"/>
              <w:left w:val="single" w:color="000000" w:sz="4" w:space="0"/>
              <w:bottom w:val="single" w:color="000000" w:sz="4" w:space="0"/>
              <w:right w:val="single" w:color="000000" w:sz="4" w:space="0"/>
            </w:tcBorders>
            <w:noWrap/>
            <w:vAlign w:val="center"/>
          </w:tcPr>
          <w:p w14:paraId="43915C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554" w:type="pct"/>
            <w:tcBorders>
              <w:top w:val="single" w:color="000000" w:sz="4" w:space="0"/>
              <w:left w:val="single" w:color="000000" w:sz="4" w:space="0"/>
              <w:bottom w:val="single" w:color="000000" w:sz="4" w:space="0"/>
              <w:right w:val="single" w:color="000000" w:sz="4" w:space="0"/>
            </w:tcBorders>
            <w:noWrap/>
            <w:vAlign w:val="center"/>
          </w:tcPr>
          <w:p w14:paraId="6D9FFF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1112" w:type="pct"/>
            <w:tcBorders>
              <w:top w:val="single" w:color="000000" w:sz="4" w:space="0"/>
              <w:left w:val="single" w:color="000000" w:sz="4" w:space="0"/>
              <w:bottom w:val="single" w:color="000000" w:sz="4" w:space="0"/>
              <w:right w:val="single" w:color="000000" w:sz="4" w:space="0"/>
            </w:tcBorders>
            <w:noWrap/>
            <w:vAlign w:val="center"/>
          </w:tcPr>
          <w:p w14:paraId="545D9C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50A5DB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521" w:type="pct"/>
            <w:tcBorders>
              <w:top w:val="single" w:color="000000" w:sz="4" w:space="0"/>
              <w:left w:val="single" w:color="000000" w:sz="4" w:space="0"/>
              <w:bottom w:val="single" w:color="000000" w:sz="4" w:space="0"/>
              <w:right w:val="single" w:color="000000" w:sz="4" w:space="0"/>
            </w:tcBorders>
            <w:noWrap/>
            <w:vAlign w:val="center"/>
          </w:tcPr>
          <w:p w14:paraId="3957BA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25BA3DE7">
        <w:tblPrEx>
          <w:tblCellMar>
            <w:top w:w="0" w:type="dxa"/>
            <w:left w:w="108" w:type="dxa"/>
            <w:bottom w:w="0" w:type="dxa"/>
            <w:right w:w="108" w:type="dxa"/>
          </w:tblCellMar>
        </w:tblPrEx>
        <w:trPr>
          <w:trHeight w:val="529" w:hRule="atLeast"/>
          <w:jc w:val="center"/>
        </w:trPr>
        <w:tc>
          <w:tcPr>
            <w:tcW w:w="359" w:type="pct"/>
            <w:tcBorders>
              <w:top w:val="single" w:color="000000" w:sz="4" w:space="0"/>
              <w:left w:val="single" w:color="000000" w:sz="4" w:space="0"/>
              <w:bottom w:val="single" w:color="000000" w:sz="4" w:space="0"/>
              <w:right w:val="single" w:color="000000" w:sz="4" w:space="0"/>
            </w:tcBorders>
            <w:noWrap/>
            <w:vAlign w:val="center"/>
          </w:tcPr>
          <w:p w14:paraId="5AA57200">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627" w:type="pct"/>
            <w:tcBorders>
              <w:top w:val="single" w:color="000000" w:sz="4" w:space="0"/>
              <w:left w:val="single" w:color="000000" w:sz="4" w:space="0"/>
              <w:bottom w:val="single" w:color="000000" w:sz="4" w:space="0"/>
              <w:right w:val="single" w:color="000000" w:sz="4" w:space="0"/>
            </w:tcBorders>
            <w:noWrap w:val="0"/>
            <w:vAlign w:val="center"/>
          </w:tcPr>
          <w:p w14:paraId="2E573C68">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超滤膜</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1E70A7D3">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M083G 66.0318V</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1B7F68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5</w:t>
            </w:r>
            <w:r>
              <w:rPr>
                <w:rFonts w:hint="default" w:ascii="仿宋" w:hAnsi="仿宋" w:eastAsia="仿宋" w:cs="仿宋"/>
                <w:i w:val="0"/>
                <w:iCs w:val="0"/>
                <w:strike w:val="0"/>
                <w:dstrike w:val="0"/>
                <w:color w:val="000000"/>
                <w:kern w:val="0"/>
                <w:sz w:val="24"/>
                <w:szCs w:val="24"/>
                <w:highlight w:val="none"/>
                <w:u w:val="none"/>
                <w:lang w:val="en-US" w:eastAsia="zh-CN" w:bidi="ar"/>
              </w:rPr>
              <w:t xml:space="preserve"> </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12DA32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54" w:type="pct"/>
            <w:tcBorders>
              <w:top w:val="single" w:color="000000" w:sz="4" w:space="0"/>
              <w:left w:val="single" w:color="000000" w:sz="4" w:space="0"/>
              <w:bottom w:val="single" w:color="000000" w:sz="4" w:space="0"/>
              <w:right w:val="single" w:color="000000" w:sz="4" w:space="0"/>
            </w:tcBorders>
            <w:noWrap w:val="0"/>
            <w:vAlign w:val="center"/>
          </w:tcPr>
          <w:p w14:paraId="1D3532AC">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BERGHOF</w:t>
            </w:r>
          </w:p>
        </w:tc>
        <w:tc>
          <w:tcPr>
            <w:tcW w:w="1112" w:type="pct"/>
            <w:tcBorders>
              <w:top w:val="single" w:color="000000" w:sz="4" w:space="0"/>
              <w:left w:val="single" w:color="000000" w:sz="4" w:space="0"/>
              <w:bottom w:val="single" w:color="000000" w:sz="4" w:space="0"/>
              <w:right w:val="single" w:color="000000" w:sz="4" w:space="0"/>
            </w:tcBorders>
            <w:noWrap w:val="0"/>
            <w:vAlign w:val="center"/>
          </w:tcPr>
          <w:p w14:paraId="1EB30065">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质保2年，质保期内保证药洗后产水不低于15方，循环量不低于220方</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14:paraId="6753375B">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21" w:type="pct"/>
            <w:tcBorders>
              <w:top w:val="single" w:color="000000" w:sz="4" w:space="0"/>
              <w:left w:val="single" w:color="000000" w:sz="4" w:space="0"/>
              <w:bottom w:val="single" w:color="000000" w:sz="4" w:space="0"/>
              <w:right w:val="single" w:color="000000" w:sz="4" w:space="0"/>
            </w:tcBorders>
            <w:noWrap w:val="0"/>
            <w:vAlign w:val="center"/>
          </w:tcPr>
          <w:p w14:paraId="06CED251">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622564C8">
      <w:pPr>
        <w:pStyle w:val="10"/>
        <w:rPr>
          <w:rFonts w:hint="eastAsia" w:ascii="仿宋" w:hAnsi="仿宋" w:eastAsia="仿宋" w:cs="仿宋"/>
          <w:highlight w:val="none"/>
        </w:rPr>
      </w:pPr>
    </w:p>
    <w:p w14:paraId="1C3D513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报价如下：（</w:t>
      </w:r>
      <w:r>
        <w:rPr>
          <w:rFonts w:hint="eastAsia" w:ascii="仿宋" w:hAnsi="仿宋" w:eastAsia="仿宋" w:cs="仿宋"/>
          <w:sz w:val="30"/>
          <w:szCs w:val="30"/>
          <w:highlight w:val="none"/>
          <w:lang w:val="en-US" w:eastAsia="zh-CN"/>
        </w:rPr>
        <w:t>总金额</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 xml:space="preserve">       元</w:t>
      </w:r>
      <w:r>
        <w:rPr>
          <w:rFonts w:hint="eastAsia" w:ascii="仿宋" w:hAnsi="仿宋" w:eastAsia="仿宋" w:cs="仿宋"/>
          <w:sz w:val="30"/>
          <w:szCs w:val="30"/>
          <w:highlight w:val="none"/>
        </w:rPr>
        <w:t>，税率为</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w:t>
      </w:r>
    </w:p>
    <w:p w14:paraId="41FE2C7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sz w:val="30"/>
          <w:szCs w:val="30"/>
          <w:highlight w:val="none"/>
          <w:lang w:eastAsia="zh-CN"/>
        </w:rPr>
        <w:t>付款方式：</w:t>
      </w:r>
      <w:r>
        <w:rPr>
          <w:rFonts w:hint="eastAsia" w:ascii="仿宋" w:hAnsi="仿宋" w:eastAsia="仿宋" w:cs="仿宋"/>
          <w:sz w:val="30"/>
          <w:szCs w:val="30"/>
          <w:highlight w:val="none"/>
          <w:lang w:val="en-US" w:eastAsia="zh-CN"/>
        </w:rPr>
        <w:t>全部货物</w:t>
      </w:r>
      <w:r>
        <w:rPr>
          <w:rFonts w:hint="eastAsia" w:ascii="仿宋" w:hAnsi="仿宋" w:eastAsia="仿宋" w:cs="仿宋"/>
          <w:sz w:val="30"/>
          <w:szCs w:val="30"/>
          <w:lang w:val="en-US" w:eastAsia="zh-CN"/>
        </w:rPr>
        <w:t>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两年质保（质保期内保证药洗后产水不低于15方，循环量不低于220方），其履约保证金（合同价的5%）到时（验收合格后）自动转为质保金，质保期从验收合格之日起计算，质保金于质保期满且无未决质量争议后无息退还</w:t>
      </w:r>
      <w:r>
        <w:rPr>
          <w:rFonts w:hint="eastAsia" w:ascii="仿宋" w:hAnsi="仿宋" w:eastAsia="仿宋" w:cs="仿宋"/>
          <w:sz w:val="30"/>
          <w:szCs w:val="30"/>
          <w:highlight w:val="none"/>
          <w:lang w:val="en-US" w:eastAsia="zh-CN"/>
        </w:rPr>
        <w:t>。</w:t>
      </w:r>
    </w:p>
    <w:p w14:paraId="43F89D4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w:t>
      </w:r>
      <w:r>
        <w:rPr>
          <w:rFonts w:hint="eastAsia" w:ascii="仿宋_GB2312" w:eastAsia="仿宋_GB2312"/>
          <w:color w:val="auto"/>
          <w:kern w:val="2"/>
          <w:sz w:val="30"/>
          <w:szCs w:val="30"/>
          <w:highlight w:val="none"/>
          <w:lang w:val="en-US" w:eastAsia="zh-CN"/>
        </w:rPr>
        <w:t>不得</w:t>
      </w:r>
      <w:r>
        <w:rPr>
          <w:rFonts w:hint="eastAsia" w:ascii="仿宋_GB2312" w:eastAsia="仿宋_GB2312"/>
          <w:color w:val="auto"/>
          <w:kern w:val="2"/>
          <w:sz w:val="30"/>
          <w:szCs w:val="30"/>
          <w:highlight w:val="none"/>
          <w:lang w:eastAsia="zh-CN"/>
        </w:rPr>
        <w:t>擅自修改付款</w:t>
      </w:r>
      <w:r>
        <w:rPr>
          <w:rFonts w:hint="eastAsia" w:ascii="仿宋_GB2312" w:eastAsia="仿宋_GB2312"/>
          <w:color w:val="auto"/>
          <w:kern w:val="2"/>
          <w:sz w:val="30"/>
          <w:szCs w:val="30"/>
          <w:highlight w:val="none"/>
          <w:lang w:val="en-US" w:eastAsia="zh-CN"/>
        </w:rPr>
        <w:t>方式</w:t>
      </w:r>
      <w:r>
        <w:rPr>
          <w:rFonts w:hint="eastAsia" w:ascii="仿宋_GB2312" w:eastAsia="仿宋_GB2312"/>
          <w:color w:val="auto"/>
          <w:kern w:val="2"/>
          <w:sz w:val="30"/>
          <w:szCs w:val="30"/>
          <w:highlight w:val="none"/>
          <w:lang w:eastAsia="zh-CN"/>
        </w:rPr>
        <w:t>，未满足该条件则视为无效投标】</w:t>
      </w:r>
    </w:p>
    <w:p w14:paraId="238AC16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D6D0DE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本项目采购总金额限价为</w:t>
      </w:r>
      <w:r>
        <w:rPr>
          <w:rFonts w:hint="eastAsia" w:ascii="仿宋" w:hAnsi="仿宋" w:eastAsia="仿宋" w:cs="仿宋"/>
          <w:color w:val="auto"/>
          <w:sz w:val="30"/>
          <w:szCs w:val="30"/>
          <w:lang w:eastAsia="zh-CN"/>
        </w:rPr>
        <w:t>人民</w:t>
      </w:r>
      <w:r>
        <w:rPr>
          <w:rFonts w:hint="eastAsia" w:ascii="仿宋" w:hAnsi="仿宋" w:eastAsia="仿宋" w:cs="仿宋"/>
          <w:color w:val="auto"/>
          <w:sz w:val="30"/>
          <w:szCs w:val="30"/>
          <w:highlight w:val="none"/>
          <w:lang w:eastAsia="zh-CN"/>
        </w:rPr>
        <w:t>币21.8</w:t>
      </w:r>
      <w:r>
        <w:rPr>
          <w:rFonts w:hint="eastAsia" w:ascii="仿宋" w:hAnsi="仿宋" w:eastAsia="仿宋" w:cs="仿宋"/>
          <w:color w:val="auto"/>
          <w:sz w:val="30"/>
          <w:szCs w:val="30"/>
          <w:highlight w:val="none"/>
          <w:lang w:val="en-US" w:eastAsia="zh-CN"/>
        </w:rPr>
        <w:t>万</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p>
    <w:p w14:paraId="7950E21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2.该采购项目履约保证金为合同价的5%。中标人于合同签订前将履约保证金打入招标人指定账户。货到验收合格后，履约保证金转为质保金。质保期满后，招标人退还质保金（无息）。</w:t>
      </w:r>
    </w:p>
    <w:p w14:paraId="6ED1667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3.中标人在合同履行期间出现违约行为，招标人可扣除相应履约保证金/质保金，并向中标人追究相应经济损失。</w:t>
      </w:r>
    </w:p>
    <w:p w14:paraId="7256419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highlight w:val="none"/>
          <w:lang w:val="en-US" w:eastAsia="zh-CN"/>
        </w:rPr>
        <w:t>4.预成交公示结束后，中标人在收到招标人</w:t>
      </w:r>
      <w:r>
        <w:rPr>
          <w:rFonts w:hint="eastAsia" w:ascii="仿宋" w:hAnsi="仿宋" w:eastAsia="仿宋" w:cs="仿宋"/>
          <w:color w:val="auto"/>
          <w:sz w:val="30"/>
          <w:szCs w:val="30"/>
          <w:lang w:val="en-US" w:eastAsia="zh-CN"/>
        </w:rPr>
        <w:t>拟订合同（所中标项目）电子版本后，确认无误并签署盖章，2天内邮寄给招标人。合同上的签订时间与招标人实际收到合同时间原则上不超过5天。否则视为中标人自动放弃，招标人有权解除合同。</w:t>
      </w:r>
    </w:p>
    <w:p w14:paraId="7FFA82F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5.以上总价应为含税全包价，包括运费、税费等一切费用，发票必须为增值税专用发票。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0FE1FA15">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744F294C">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0E06A07D">
      <w:pPr>
        <w:spacing w:line="360" w:lineRule="auto"/>
        <w:jc w:val="center"/>
        <w:rPr>
          <w:rFonts w:hint="eastAsia" w:ascii="仿宋" w:hAnsi="仿宋" w:eastAsia="仿宋" w:cs="仿宋"/>
          <w:b/>
          <w:color w:val="auto"/>
          <w:sz w:val="44"/>
          <w:lang w:val="en-US" w:eastAsia="zh-CN"/>
        </w:rPr>
      </w:pPr>
    </w:p>
    <w:p w14:paraId="73EF7B39">
      <w:pPr>
        <w:spacing w:line="360" w:lineRule="auto"/>
        <w:jc w:val="center"/>
        <w:rPr>
          <w:rFonts w:hint="eastAsia" w:ascii="仿宋" w:hAnsi="仿宋" w:eastAsia="仿宋" w:cs="仿宋"/>
          <w:b/>
          <w:color w:val="auto"/>
          <w:sz w:val="44"/>
          <w:lang w:val="en-US" w:eastAsia="zh-CN"/>
        </w:rPr>
      </w:pPr>
    </w:p>
    <w:p w14:paraId="673A4905">
      <w:pPr>
        <w:spacing w:line="360" w:lineRule="auto"/>
        <w:jc w:val="center"/>
        <w:rPr>
          <w:rFonts w:hint="eastAsia" w:ascii="仿宋" w:hAnsi="仿宋" w:eastAsia="仿宋" w:cs="仿宋"/>
          <w:b/>
          <w:color w:val="auto"/>
          <w:sz w:val="44"/>
          <w:lang w:val="en-US" w:eastAsia="zh-CN"/>
        </w:rPr>
      </w:pPr>
    </w:p>
    <w:p w14:paraId="5C0514F7">
      <w:pPr>
        <w:spacing w:line="360" w:lineRule="auto"/>
        <w:jc w:val="center"/>
        <w:rPr>
          <w:rFonts w:hint="eastAsia" w:ascii="仿宋" w:hAnsi="仿宋" w:eastAsia="仿宋" w:cs="仿宋"/>
          <w:b/>
          <w:color w:val="auto"/>
          <w:sz w:val="44"/>
          <w:lang w:val="en-US" w:eastAsia="zh-CN"/>
        </w:rPr>
      </w:pPr>
    </w:p>
    <w:p w14:paraId="0DD8ABE5">
      <w:pPr>
        <w:spacing w:line="360" w:lineRule="auto"/>
        <w:jc w:val="center"/>
        <w:rPr>
          <w:rFonts w:hint="eastAsia" w:ascii="仿宋" w:hAnsi="仿宋" w:eastAsia="仿宋" w:cs="仿宋"/>
          <w:b/>
          <w:color w:val="auto"/>
          <w:sz w:val="44"/>
          <w:lang w:val="en-US" w:eastAsia="zh-CN"/>
        </w:rPr>
      </w:pPr>
    </w:p>
    <w:p w14:paraId="3C20548E">
      <w:pPr>
        <w:spacing w:line="360" w:lineRule="auto"/>
        <w:jc w:val="center"/>
        <w:rPr>
          <w:rFonts w:hint="eastAsia" w:ascii="仿宋" w:hAnsi="仿宋" w:eastAsia="仿宋" w:cs="仿宋"/>
          <w:b/>
          <w:color w:val="auto"/>
          <w:sz w:val="44"/>
          <w:lang w:val="en-US" w:eastAsia="zh-CN"/>
        </w:rPr>
      </w:pPr>
    </w:p>
    <w:p w14:paraId="42AB5701">
      <w:pPr>
        <w:pStyle w:val="2"/>
        <w:ind w:left="0" w:leftChars="0" w:firstLine="0" w:firstLineChars="0"/>
        <w:rPr>
          <w:rFonts w:hint="eastAsia"/>
          <w:lang w:val="en-US" w:eastAsia="zh-CN"/>
        </w:rPr>
      </w:pPr>
    </w:p>
    <w:p w14:paraId="7EC15046">
      <w:pPr>
        <w:pStyle w:val="2"/>
        <w:ind w:left="0" w:leftChars="0" w:firstLine="0" w:firstLineChars="0"/>
        <w:rPr>
          <w:rFonts w:hint="eastAsia"/>
          <w:lang w:val="en-US" w:eastAsia="zh-CN"/>
        </w:rPr>
      </w:pPr>
    </w:p>
    <w:p w14:paraId="4BA40F3E">
      <w:pPr>
        <w:spacing w:line="480" w:lineRule="auto"/>
        <w:jc w:val="left"/>
        <w:outlineLvl w:val="0"/>
        <w:rPr>
          <w:rFonts w:hint="eastAsia" w:ascii="仿宋" w:hAnsi="仿宋" w:eastAsia="仿宋" w:cs="仿宋"/>
          <w:b/>
          <w:spacing w:val="-2"/>
          <w:sz w:val="30"/>
        </w:rPr>
      </w:pPr>
      <w:bookmarkStart w:id="26" w:name="_Toc2924"/>
      <w:r>
        <w:rPr>
          <w:rStyle w:val="20"/>
          <w:rFonts w:hint="eastAsia" w:ascii="仿宋" w:hAnsi="仿宋" w:eastAsia="仿宋" w:cs="仿宋"/>
          <w:sz w:val="30"/>
        </w:rPr>
        <w:t>附件</w:t>
      </w:r>
      <w:r>
        <w:rPr>
          <w:rStyle w:val="20"/>
          <w:rFonts w:hint="eastAsia" w:ascii="仿宋" w:hAnsi="仿宋" w:eastAsia="仿宋" w:cs="仿宋"/>
          <w:sz w:val="30"/>
          <w:lang w:val="en-US"/>
        </w:rPr>
        <w:t>二</w:t>
      </w:r>
      <w:r>
        <w:rPr>
          <w:rStyle w:val="20"/>
          <w:rFonts w:hint="eastAsia" w:ascii="仿宋" w:hAnsi="仿宋" w:eastAsia="仿宋" w:cs="仿宋"/>
          <w:sz w:val="30"/>
        </w:rPr>
        <w:t>：</w:t>
      </w:r>
      <w:bookmarkEnd w:id="26"/>
    </w:p>
    <w:p w14:paraId="6B8A0D71">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657AF1E4">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1DE889E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 xml:space="preserve">绍兴市再生能源发展有限公司 超滤膜采购 </w:t>
      </w:r>
      <w:r>
        <w:rPr>
          <w:rFonts w:hint="eastAsia" w:ascii="仿宋" w:hAnsi="仿宋" w:eastAsia="仿宋" w:cs="仿宋"/>
          <w:color w:val="auto"/>
          <w:sz w:val="30"/>
          <w:szCs w:val="30"/>
          <w:u w:val="none"/>
          <w:lang w:val="en-US" w:eastAsia="zh-CN"/>
        </w:rPr>
        <w:t>项目。</w:t>
      </w:r>
    </w:p>
    <w:tbl>
      <w:tblPr>
        <w:tblStyle w:val="13"/>
        <w:tblW w:w="5534" w:type="pct"/>
        <w:jc w:val="center"/>
        <w:tblLayout w:type="fixed"/>
        <w:tblCellMar>
          <w:top w:w="0" w:type="dxa"/>
          <w:left w:w="108" w:type="dxa"/>
          <w:bottom w:w="0" w:type="dxa"/>
          <w:right w:w="108" w:type="dxa"/>
        </w:tblCellMar>
      </w:tblPr>
      <w:tblGrid>
        <w:gridCol w:w="739"/>
        <w:gridCol w:w="1291"/>
        <w:gridCol w:w="1441"/>
        <w:gridCol w:w="628"/>
        <w:gridCol w:w="677"/>
        <w:gridCol w:w="1140"/>
        <w:gridCol w:w="2288"/>
        <w:gridCol w:w="1005"/>
        <w:gridCol w:w="1072"/>
      </w:tblGrid>
      <w:tr w14:paraId="2E388E1C">
        <w:tblPrEx>
          <w:tblCellMar>
            <w:top w:w="0" w:type="dxa"/>
            <w:left w:w="108" w:type="dxa"/>
            <w:bottom w:w="0" w:type="dxa"/>
            <w:right w:w="108" w:type="dxa"/>
          </w:tblCellMar>
        </w:tblPrEx>
        <w:trPr>
          <w:trHeight w:val="467" w:hRule="atLeast"/>
          <w:jc w:val="center"/>
        </w:trPr>
        <w:tc>
          <w:tcPr>
            <w:tcW w:w="359" w:type="pct"/>
            <w:tcBorders>
              <w:top w:val="single" w:color="000000" w:sz="4" w:space="0"/>
              <w:left w:val="single" w:color="000000" w:sz="4" w:space="0"/>
              <w:bottom w:val="single" w:color="000000" w:sz="4" w:space="0"/>
              <w:right w:val="single" w:color="000000" w:sz="4" w:space="0"/>
            </w:tcBorders>
            <w:noWrap/>
            <w:vAlign w:val="center"/>
          </w:tcPr>
          <w:p w14:paraId="1D7CE3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627" w:type="pct"/>
            <w:tcBorders>
              <w:top w:val="single" w:color="000000" w:sz="4" w:space="0"/>
              <w:left w:val="single" w:color="000000" w:sz="4" w:space="0"/>
              <w:bottom w:val="single" w:color="000000" w:sz="4" w:space="0"/>
              <w:right w:val="single" w:color="000000" w:sz="4" w:space="0"/>
            </w:tcBorders>
            <w:noWrap/>
            <w:vAlign w:val="center"/>
          </w:tcPr>
          <w:p w14:paraId="1AF4F9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36E2B22F">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305" w:type="pct"/>
            <w:tcBorders>
              <w:top w:val="single" w:color="000000" w:sz="4" w:space="0"/>
              <w:left w:val="single" w:color="000000" w:sz="4" w:space="0"/>
              <w:bottom w:val="single" w:color="000000" w:sz="4" w:space="0"/>
              <w:right w:val="single" w:color="000000" w:sz="4" w:space="0"/>
            </w:tcBorders>
            <w:noWrap/>
            <w:vAlign w:val="center"/>
          </w:tcPr>
          <w:p w14:paraId="5FF1B9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329" w:type="pct"/>
            <w:tcBorders>
              <w:top w:val="single" w:color="000000" w:sz="4" w:space="0"/>
              <w:left w:val="single" w:color="000000" w:sz="4" w:space="0"/>
              <w:bottom w:val="single" w:color="000000" w:sz="4" w:space="0"/>
              <w:right w:val="single" w:color="000000" w:sz="4" w:space="0"/>
            </w:tcBorders>
            <w:noWrap/>
            <w:vAlign w:val="center"/>
          </w:tcPr>
          <w:p w14:paraId="48E3C8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554" w:type="pct"/>
            <w:tcBorders>
              <w:top w:val="single" w:color="000000" w:sz="4" w:space="0"/>
              <w:left w:val="single" w:color="000000" w:sz="4" w:space="0"/>
              <w:bottom w:val="single" w:color="000000" w:sz="4" w:space="0"/>
              <w:right w:val="single" w:color="000000" w:sz="4" w:space="0"/>
            </w:tcBorders>
            <w:noWrap/>
            <w:vAlign w:val="center"/>
          </w:tcPr>
          <w:p w14:paraId="3B5E4E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1112" w:type="pct"/>
            <w:tcBorders>
              <w:top w:val="single" w:color="000000" w:sz="4" w:space="0"/>
              <w:left w:val="single" w:color="000000" w:sz="4" w:space="0"/>
              <w:bottom w:val="single" w:color="000000" w:sz="4" w:space="0"/>
              <w:right w:val="single" w:color="000000" w:sz="4" w:space="0"/>
            </w:tcBorders>
            <w:noWrap/>
            <w:vAlign w:val="center"/>
          </w:tcPr>
          <w:p w14:paraId="077F37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601C90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521" w:type="pct"/>
            <w:tcBorders>
              <w:top w:val="single" w:color="000000" w:sz="4" w:space="0"/>
              <w:left w:val="single" w:color="000000" w:sz="4" w:space="0"/>
              <w:bottom w:val="single" w:color="000000" w:sz="4" w:space="0"/>
              <w:right w:val="single" w:color="000000" w:sz="4" w:space="0"/>
            </w:tcBorders>
            <w:noWrap/>
            <w:vAlign w:val="center"/>
          </w:tcPr>
          <w:p w14:paraId="117086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2134E87E">
        <w:tblPrEx>
          <w:tblCellMar>
            <w:top w:w="0" w:type="dxa"/>
            <w:left w:w="108" w:type="dxa"/>
            <w:bottom w:w="0" w:type="dxa"/>
            <w:right w:w="108" w:type="dxa"/>
          </w:tblCellMar>
        </w:tblPrEx>
        <w:trPr>
          <w:trHeight w:val="529" w:hRule="atLeast"/>
          <w:jc w:val="center"/>
        </w:trPr>
        <w:tc>
          <w:tcPr>
            <w:tcW w:w="359" w:type="pct"/>
            <w:tcBorders>
              <w:top w:val="single" w:color="000000" w:sz="4" w:space="0"/>
              <w:left w:val="single" w:color="000000" w:sz="4" w:space="0"/>
              <w:bottom w:val="single" w:color="000000" w:sz="4" w:space="0"/>
              <w:right w:val="single" w:color="000000" w:sz="4" w:space="0"/>
            </w:tcBorders>
            <w:noWrap/>
            <w:vAlign w:val="center"/>
          </w:tcPr>
          <w:p w14:paraId="47670D96">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627" w:type="pct"/>
            <w:tcBorders>
              <w:top w:val="single" w:color="000000" w:sz="4" w:space="0"/>
              <w:left w:val="single" w:color="000000" w:sz="4" w:space="0"/>
              <w:bottom w:val="single" w:color="000000" w:sz="4" w:space="0"/>
              <w:right w:val="single" w:color="000000" w:sz="4" w:space="0"/>
            </w:tcBorders>
            <w:noWrap w:val="0"/>
            <w:vAlign w:val="center"/>
          </w:tcPr>
          <w:p w14:paraId="3C663088">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超滤膜</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0C3C69B5">
            <w:pPr>
              <w:keepNext w:val="0"/>
              <w:keepLines w:val="0"/>
              <w:widowControl/>
              <w:suppressLineNumbers w:val="0"/>
              <w:tabs>
                <w:tab w:val="left" w:pos="431"/>
              </w:tabs>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M083G 66.0318V</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2121EB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5</w:t>
            </w:r>
            <w:r>
              <w:rPr>
                <w:rFonts w:hint="default" w:ascii="仿宋" w:hAnsi="仿宋" w:eastAsia="仿宋" w:cs="仿宋"/>
                <w:i w:val="0"/>
                <w:iCs w:val="0"/>
                <w:strike w:val="0"/>
                <w:dstrike w:val="0"/>
                <w:color w:val="000000"/>
                <w:kern w:val="0"/>
                <w:sz w:val="24"/>
                <w:szCs w:val="24"/>
                <w:highlight w:val="none"/>
                <w:u w:val="none"/>
                <w:lang w:val="en-US" w:eastAsia="zh-CN" w:bidi="ar"/>
              </w:rPr>
              <w:t xml:space="preserve"> </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3C4230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54" w:type="pct"/>
            <w:tcBorders>
              <w:top w:val="single" w:color="000000" w:sz="4" w:space="0"/>
              <w:left w:val="single" w:color="000000" w:sz="4" w:space="0"/>
              <w:bottom w:val="single" w:color="000000" w:sz="4" w:space="0"/>
              <w:right w:val="single" w:color="000000" w:sz="4" w:space="0"/>
            </w:tcBorders>
            <w:noWrap w:val="0"/>
            <w:vAlign w:val="center"/>
          </w:tcPr>
          <w:p w14:paraId="0BAD6262">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BERGHOF</w:t>
            </w:r>
          </w:p>
        </w:tc>
        <w:tc>
          <w:tcPr>
            <w:tcW w:w="1112" w:type="pct"/>
            <w:tcBorders>
              <w:top w:val="single" w:color="000000" w:sz="4" w:space="0"/>
              <w:left w:val="single" w:color="000000" w:sz="4" w:space="0"/>
              <w:bottom w:val="single" w:color="000000" w:sz="4" w:space="0"/>
              <w:right w:val="single" w:color="000000" w:sz="4" w:space="0"/>
            </w:tcBorders>
            <w:noWrap w:val="0"/>
            <w:vAlign w:val="center"/>
          </w:tcPr>
          <w:p w14:paraId="40EECAF0">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质保2年，质保期内保证药洗后产水不低于15方，循环量不低于220方</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14:paraId="5E542E2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521" w:type="pct"/>
            <w:tcBorders>
              <w:top w:val="single" w:color="000000" w:sz="4" w:space="0"/>
              <w:left w:val="single" w:color="000000" w:sz="4" w:space="0"/>
              <w:bottom w:val="single" w:color="000000" w:sz="4" w:space="0"/>
              <w:right w:val="single" w:color="000000" w:sz="4" w:space="0"/>
            </w:tcBorders>
            <w:noWrap w:val="0"/>
            <w:vAlign w:val="center"/>
          </w:tcPr>
          <w:p w14:paraId="31DB1D00">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5646FF34">
      <w:pPr>
        <w:pStyle w:val="10"/>
        <w:rPr>
          <w:rFonts w:hint="eastAsia" w:ascii="仿宋" w:hAnsi="仿宋" w:eastAsia="仿宋" w:cs="仿宋"/>
          <w:color w:val="auto"/>
          <w:highlight w:val="none"/>
        </w:rPr>
      </w:pPr>
    </w:p>
    <w:p w14:paraId="5EE6A5F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报价如下：（</w:t>
      </w:r>
      <w:r>
        <w:rPr>
          <w:rFonts w:hint="eastAsia" w:ascii="仿宋" w:hAnsi="仿宋" w:eastAsia="仿宋" w:cs="仿宋"/>
          <w:color w:val="auto"/>
          <w:sz w:val="30"/>
          <w:szCs w:val="30"/>
          <w:highlight w:val="none"/>
          <w:lang w:eastAsia="zh-CN"/>
        </w:rPr>
        <w:t>总金额</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元，税率为    </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 %）</w:t>
      </w:r>
    </w:p>
    <w:p w14:paraId="27F5755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相关要求：</w:t>
      </w:r>
    </w:p>
    <w:p w14:paraId="14C4C6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yellow"/>
        </w:rPr>
      </w:pPr>
      <w:r>
        <w:rPr>
          <w:rFonts w:hint="eastAsia" w:ascii="仿宋" w:hAnsi="仿宋" w:eastAsia="仿宋" w:cs="仿宋"/>
          <w:color w:val="auto"/>
          <w:kern w:val="2"/>
          <w:sz w:val="30"/>
          <w:szCs w:val="30"/>
          <w:lang w:val="en-US" w:eastAsia="zh-CN" w:bidi="ar-SA"/>
        </w:rPr>
        <w:t>1.</w:t>
      </w: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两年质保（质保期内保证药洗后产水不低于15方，循环量不低于220方），其履约保证金（合同价的5%）到时（验收合格后）自动转为质保金，质保期从验收合格之日起计算，质保金于质保期满且无未决质量争议后无息退还。</w:t>
      </w:r>
    </w:p>
    <w:p w14:paraId="687EAA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2.</w:t>
      </w: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622348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3.</w:t>
      </w:r>
      <w:r>
        <w:rPr>
          <w:rFonts w:hint="eastAsia" w:ascii="仿宋" w:hAnsi="仿宋" w:eastAsia="仿宋" w:cs="仿宋"/>
          <w:color w:val="auto"/>
          <w:sz w:val="30"/>
          <w:szCs w:val="30"/>
          <w:lang w:val="en-US" w:eastAsia="zh-CN"/>
        </w:rPr>
        <w:t>本次报价为最终投标报价依据。</w:t>
      </w:r>
    </w:p>
    <w:p w14:paraId="385701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4.</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HYPERLINK "mailto:请于2024年5月17日前将询价表盖章后的电子版发至dzw@sxszsny.com"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lang w:val="en-US" w:eastAsia="zh-CN"/>
        </w:rPr>
        <w:t>请自接到采购人二次报价通知后30分钟内将二次报价一览表盖章后的电子版发送至邮箱dzw@sxszsny.com</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B905EC1">
      <w:pPr>
        <w:snapToGrid w:val="0"/>
        <w:ind w:firstLine="480" w:firstLineChars="200"/>
        <w:jc w:val="right"/>
        <w:rPr>
          <w:rFonts w:hint="eastAsia" w:ascii="仿宋" w:hAnsi="仿宋" w:eastAsia="仿宋" w:cs="仿宋"/>
          <w:color w:val="auto"/>
          <w:sz w:val="24"/>
          <w:szCs w:val="24"/>
        </w:rPr>
      </w:pPr>
    </w:p>
    <w:p w14:paraId="6A63DBA1">
      <w:pPr>
        <w:snapToGrid w:val="0"/>
        <w:ind w:firstLine="480" w:firstLineChars="200"/>
        <w:jc w:val="right"/>
        <w:rPr>
          <w:rFonts w:hint="eastAsia" w:ascii="仿宋" w:hAnsi="仿宋" w:eastAsia="仿宋" w:cs="仿宋"/>
          <w:color w:val="auto"/>
          <w:sz w:val="24"/>
          <w:szCs w:val="24"/>
        </w:rPr>
      </w:pPr>
    </w:p>
    <w:p w14:paraId="572BD22C">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2563433E">
      <w:pPr>
        <w:wordWrap w:val="0"/>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p w14:paraId="67D1B629">
      <w:pPr>
        <w:spacing w:line="480" w:lineRule="auto"/>
        <w:jc w:val="left"/>
        <w:outlineLvl w:val="0"/>
        <w:rPr>
          <w:rFonts w:hint="eastAsia" w:ascii="仿宋" w:hAnsi="仿宋" w:eastAsia="仿宋" w:cs="仿宋"/>
          <w:b/>
          <w:spacing w:val="-2"/>
          <w:sz w:val="30"/>
        </w:rPr>
      </w:pPr>
      <w:bookmarkStart w:id="27" w:name="_Toc103165678"/>
      <w:bookmarkStart w:id="28" w:name="_Toc108839328"/>
      <w:bookmarkStart w:id="29" w:name="_Toc18587"/>
      <w:r>
        <w:rPr>
          <w:rStyle w:val="20"/>
          <w:rFonts w:hint="eastAsia" w:ascii="仿宋" w:hAnsi="仿宋" w:eastAsia="仿宋" w:cs="仿宋"/>
          <w:sz w:val="30"/>
        </w:rPr>
        <w:t>附件</w:t>
      </w:r>
      <w:bookmarkEnd w:id="27"/>
      <w:bookmarkEnd w:id="28"/>
      <w:r>
        <w:rPr>
          <w:rStyle w:val="20"/>
          <w:rFonts w:hint="eastAsia" w:ascii="仿宋" w:hAnsi="仿宋" w:eastAsia="仿宋" w:cs="仿宋"/>
          <w:sz w:val="30"/>
          <w:lang w:val="en-US"/>
        </w:rPr>
        <w:t>三：</w:t>
      </w:r>
      <w:bookmarkEnd w:id="29"/>
    </w:p>
    <w:p w14:paraId="03F47F1F">
      <w:pPr>
        <w:snapToGrid w:val="0"/>
        <w:ind w:firstLine="1926" w:firstLineChars="600"/>
        <w:jc w:val="left"/>
        <w:rPr>
          <w:rFonts w:hint="eastAsia" w:ascii="仿宋" w:hAnsi="仿宋" w:eastAsia="仿宋" w:cs="仿宋"/>
          <w:b/>
          <w:spacing w:val="40"/>
          <w:sz w:val="24"/>
          <w:szCs w:val="24"/>
        </w:rPr>
      </w:pPr>
    </w:p>
    <w:p w14:paraId="362D6DC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BE16A7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02BD792">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超滤膜采购项目</w:t>
      </w:r>
      <w:r>
        <w:rPr>
          <w:rFonts w:hint="eastAsia" w:ascii="仿宋" w:hAnsi="仿宋" w:eastAsia="仿宋" w:cs="仿宋"/>
          <w:sz w:val="28"/>
          <w:szCs w:val="28"/>
        </w:rPr>
        <w:t>询价采购，并</w:t>
      </w:r>
      <w:r>
        <w:rPr>
          <w:rFonts w:hint="eastAsia" w:ascii="仿宋" w:hAnsi="仿宋" w:eastAsia="仿宋" w:cs="仿宋"/>
          <w:sz w:val="28"/>
          <w:szCs w:val="28"/>
          <w:lang w:eastAsia="zh-CN"/>
        </w:rPr>
        <w:t>作如下承诺</w:t>
      </w:r>
      <w:r>
        <w:rPr>
          <w:rFonts w:hint="eastAsia" w:ascii="仿宋" w:hAnsi="仿宋" w:eastAsia="仿宋" w:cs="仿宋"/>
          <w:sz w:val="28"/>
          <w:szCs w:val="28"/>
        </w:rPr>
        <w:t>：</w:t>
      </w:r>
    </w:p>
    <w:p w14:paraId="1E47345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795A59D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C00477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0CCCDE63">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402F9AC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2AD9E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171E02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69206E5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46831797">
      <w:pPr>
        <w:keepNext w:val="0"/>
        <w:keepLines w:val="0"/>
        <w:pageBreakBefore w:val="0"/>
        <w:widowControl w:val="0"/>
        <w:kinsoku/>
        <w:wordWrap/>
        <w:overflowPunct/>
        <w:topLinePunct w:val="0"/>
        <w:autoSpaceDE/>
        <w:autoSpaceDN/>
        <w:bidi w:val="0"/>
        <w:adjustRightInd/>
        <w:snapToGrid w:val="0"/>
        <w:spacing w:line="360" w:lineRule="auto"/>
        <w:ind w:firstLine="3360" w:firstLineChars="12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4701BAE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56D22D2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3A121E3B">
      <w:pPr>
        <w:pStyle w:val="12"/>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0C772">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10</w:t>
    </w:r>
    <w:r>
      <w:fldChar w:fldCharType="end"/>
    </w:r>
  </w:p>
  <w:p w14:paraId="2E77B0A4">
    <w:pPr>
      <w:pStyle w:val="8"/>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1">
    <w:nsid w:val="CD38C24A"/>
    <w:multiLevelType w:val="singleLevel"/>
    <w:tmpl w:val="CD38C24A"/>
    <w:lvl w:ilvl="0" w:tentative="0">
      <w:start w:val="1"/>
      <w:numFmt w:val="decimal"/>
      <w:suff w:val="nothing"/>
      <w:lvlText w:val="%1"/>
      <w:lvlJc w:val="left"/>
      <w:pPr>
        <w:ind w:left="635" w:leftChars="0" w:hanging="425" w:firstLineChars="0"/>
      </w:pPr>
      <w:rPr>
        <w:rFonts w:hint="default"/>
      </w:rPr>
    </w:lvl>
  </w:abstractNum>
  <w:abstractNum w:abstractNumId="2">
    <w:nsid w:val="FD9CB953"/>
    <w:multiLevelType w:val="singleLevel"/>
    <w:tmpl w:val="FD9CB953"/>
    <w:lvl w:ilvl="0" w:tentative="0">
      <w:start w:val="1"/>
      <w:numFmt w:val="decimal"/>
      <w:suff w:val="nothing"/>
      <w:lvlText w:val="%1"/>
      <w:lvlJc w:val="left"/>
      <w:pPr>
        <w:ind w:left="635" w:leftChars="0" w:hanging="425" w:firstLineChars="0"/>
      </w:pPr>
      <w:rPr>
        <w:rFonts w:hint="default"/>
      </w:rPr>
    </w:lvl>
  </w:abstractNum>
  <w:abstractNum w:abstractNumId="3">
    <w:nsid w:val="00000020"/>
    <w:multiLevelType w:val="multilevel"/>
    <w:tmpl w:val="00000020"/>
    <w:lvl w:ilvl="0" w:tentative="0">
      <w:start w:val="1"/>
      <w:numFmt w:val="decimal"/>
      <w:pStyle w:val="4"/>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5AF6242"/>
    <w:multiLevelType w:val="singleLevel"/>
    <w:tmpl w:val="05AF6242"/>
    <w:lvl w:ilvl="0" w:tentative="0">
      <w:start w:val="5"/>
      <w:numFmt w:val="chineseCounting"/>
      <w:suff w:val="space"/>
      <w:lvlText w:val="第%1条"/>
      <w:lvlJc w:val="left"/>
      <w:rPr>
        <w:rFonts w:hint="eastAsia"/>
      </w:rPr>
    </w:lvl>
  </w:abstractNum>
  <w:abstractNum w:abstractNumId="5">
    <w:nsid w:val="2D8F1456"/>
    <w:multiLevelType w:val="singleLevel"/>
    <w:tmpl w:val="2D8F1456"/>
    <w:lvl w:ilvl="0" w:tentative="0">
      <w:start w:val="1"/>
      <w:numFmt w:val="decimal"/>
      <w:suff w:val="nothing"/>
      <w:lvlText w:val="%1"/>
      <w:lvlJc w:val="left"/>
      <w:pPr>
        <w:ind w:left="635" w:leftChars="0" w:hanging="425" w:firstLineChars="0"/>
      </w:pPr>
      <w:rPr>
        <w:rFonts w:hint="default"/>
      </w:rPr>
    </w:lvl>
  </w:abstractNum>
  <w:abstractNum w:abstractNumId="6">
    <w:nsid w:val="4CC8527C"/>
    <w:multiLevelType w:val="singleLevel"/>
    <w:tmpl w:val="4CC8527C"/>
    <w:lvl w:ilvl="0" w:tentative="0">
      <w:start w:val="6"/>
      <w:numFmt w:val="chineseCounting"/>
      <w:suff w:val="nothing"/>
      <w:lvlText w:val="%1、"/>
      <w:lvlJc w:val="left"/>
      <w:rPr>
        <w:rFonts w:hint="eastAsia"/>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kNzExMmNlZTllZmYzYjIzZDNlN2M3MDhjZjk3N2IifQ=="/>
  </w:docVars>
  <w:rsids>
    <w:rsidRoot w:val="1297576D"/>
    <w:rsid w:val="000A2454"/>
    <w:rsid w:val="0029396E"/>
    <w:rsid w:val="003A657B"/>
    <w:rsid w:val="003D1171"/>
    <w:rsid w:val="004B4DC0"/>
    <w:rsid w:val="00517D5D"/>
    <w:rsid w:val="005926A3"/>
    <w:rsid w:val="008746A5"/>
    <w:rsid w:val="00B574EC"/>
    <w:rsid w:val="01934423"/>
    <w:rsid w:val="01D22213"/>
    <w:rsid w:val="027B64C4"/>
    <w:rsid w:val="02823112"/>
    <w:rsid w:val="02834D04"/>
    <w:rsid w:val="038D5656"/>
    <w:rsid w:val="04464BDF"/>
    <w:rsid w:val="04605697"/>
    <w:rsid w:val="05D22118"/>
    <w:rsid w:val="05EA4B8C"/>
    <w:rsid w:val="05EC05B3"/>
    <w:rsid w:val="06057AB3"/>
    <w:rsid w:val="067A3460"/>
    <w:rsid w:val="076328DA"/>
    <w:rsid w:val="08186607"/>
    <w:rsid w:val="08323D9B"/>
    <w:rsid w:val="083A3947"/>
    <w:rsid w:val="08F93082"/>
    <w:rsid w:val="097479E0"/>
    <w:rsid w:val="0A0C6ADD"/>
    <w:rsid w:val="0A32752C"/>
    <w:rsid w:val="0A9D29B8"/>
    <w:rsid w:val="0B237EC8"/>
    <w:rsid w:val="0B2C6C02"/>
    <w:rsid w:val="0BC12699"/>
    <w:rsid w:val="0BCC31F9"/>
    <w:rsid w:val="0C5A16A4"/>
    <w:rsid w:val="0DC35837"/>
    <w:rsid w:val="0DE61498"/>
    <w:rsid w:val="0ED22627"/>
    <w:rsid w:val="0EFA59AB"/>
    <w:rsid w:val="0FF5036F"/>
    <w:rsid w:val="10867335"/>
    <w:rsid w:val="110C39D4"/>
    <w:rsid w:val="1297576D"/>
    <w:rsid w:val="12BF4C87"/>
    <w:rsid w:val="12E70A09"/>
    <w:rsid w:val="15341747"/>
    <w:rsid w:val="163F0F8C"/>
    <w:rsid w:val="164F6705"/>
    <w:rsid w:val="16646293"/>
    <w:rsid w:val="16FE5921"/>
    <w:rsid w:val="17507F90"/>
    <w:rsid w:val="17B042A1"/>
    <w:rsid w:val="18B21538"/>
    <w:rsid w:val="18C93F2F"/>
    <w:rsid w:val="1A2B7D96"/>
    <w:rsid w:val="1B25743C"/>
    <w:rsid w:val="1BD33B78"/>
    <w:rsid w:val="1BEC2FB3"/>
    <w:rsid w:val="1C540D8D"/>
    <w:rsid w:val="1CDA4664"/>
    <w:rsid w:val="1CE262BC"/>
    <w:rsid w:val="1D6D770B"/>
    <w:rsid w:val="1DC36A6E"/>
    <w:rsid w:val="1E1A21EF"/>
    <w:rsid w:val="1E3F6A26"/>
    <w:rsid w:val="1EC02DEE"/>
    <w:rsid w:val="203B090D"/>
    <w:rsid w:val="20917F17"/>
    <w:rsid w:val="20B91875"/>
    <w:rsid w:val="21135480"/>
    <w:rsid w:val="212C3971"/>
    <w:rsid w:val="214D7086"/>
    <w:rsid w:val="21BA7E4E"/>
    <w:rsid w:val="21F8155D"/>
    <w:rsid w:val="2237459C"/>
    <w:rsid w:val="22DF5956"/>
    <w:rsid w:val="22ED7F5E"/>
    <w:rsid w:val="231F50B3"/>
    <w:rsid w:val="24130D0C"/>
    <w:rsid w:val="247A3733"/>
    <w:rsid w:val="24937D46"/>
    <w:rsid w:val="24CD5814"/>
    <w:rsid w:val="259E2C64"/>
    <w:rsid w:val="260706AD"/>
    <w:rsid w:val="2685028B"/>
    <w:rsid w:val="26F76768"/>
    <w:rsid w:val="27170377"/>
    <w:rsid w:val="27AC61A6"/>
    <w:rsid w:val="27FE02E6"/>
    <w:rsid w:val="281F51A8"/>
    <w:rsid w:val="28C57566"/>
    <w:rsid w:val="28C820B6"/>
    <w:rsid w:val="29084622"/>
    <w:rsid w:val="291D4CB4"/>
    <w:rsid w:val="29F704EF"/>
    <w:rsid w:val="2AC220DE"/>
    <w:rsid w:val="2ADB5E21"/>
    <w:rsid w:val="2ADF08BA"/>
    <w:rsid w:val="2B38119C"/>
    <w:rsid w:val="2B603075"/>
    <w:rsid w:val="2C305EB2"/>
    <w:rsid w:val="2C547C73"/>
    <w:rsid w:val="2CD9238D"/>
    <w:rsid w:val="2CF24E09"/>
    <w:rsid w:val="2E003054"/>
    <w:rsid w:val="2E012585"/>
    <w:rsid w:val="2EB2531B"/>
    <w:rsid w:val="2F28513F"/>
    <w:rsid w:val="2F3D045F"/>
    <w:rsid w:val="2F6F3EAC"/>
    <w:rsid w:val="2F7D3F84"/>
    <w:rsid w:val="2F844FB7"/>
    <w:rsid w:val="30030652"/>
    <w:rsid w:val="30256074"/>
    <w:rsid w:val="302C4175"/>
    <w:rsid w:val="304A1F48"/>
    <w:rsid w:val="31713FF6"/>
    <w:rsid w:val="32B04D2F"/>
    <w:rsid w:val="33862CBD"/>
    <w:rsid w:val="338F6EF0"/>
    <w:rsid w:val="3393544D"/>
    <w:rsid w:val="33A35EAC"/>
    <w:rsid w:val="345077FD"/>
    <w:rsid w:val="3464504B"/>
    <w:rsid w:val="34E00D83"/>
    <w:rsid w:val="34E40873"/>
    <w:rsid w:val="36216F0D"/>
    <w:rsid w:val="36316A75"/>
    <w:rsid w:val="36C14165"/>
    <w:rsid w:val="36ED02B2"/>
    <w:rsid w:val="37DB73A7"/>
    <w:rsid w:val="37E312B6"/>
    <w:rsid w:val="389450EA"/>
    <w:rsid w:val="389D7311"/>
    <w:rsid w:val="39653A2A"/>
    <w:rsid w:val="398E418A"/>
    <w:rsid w:val="3996009B"/>
    <w:rsid w:val="3997709B"/>
    <w:rsid w:val="39A55AE7"/>
    <w:rsid w:val="39BB1265"/>
    <w:rsid w:val="3A351BE0"/>
    <w:rsid w:val="3AFB2B32"/>
    <w:rsid w:val="3B0953A4"/>
    <w:rsid w:val="3C0B0C04"/>
    <w:rsid w:val="3C302F1C"/>
    <w:rsid w:val="3C8719BD"/>
    <w:rsid w:val="3CE46170"/>
    <w:rsid w:val="3D431CCA"/>
    <w:rsid w:val="3D7933CA"/>
    <w:rsid w:val="3DA70031"/>
    <w:rsid w:val="3DAC3CC7"/>
    <w:rsid w:val="3DE801D2"/>
    <w:rsid w:val="3E16524F"/>
    <w:rsid w:val="3EA30F9B"/>
    <w:rsid w:val="3EEE03E1"/>
    <w:rsid w:val="3F2D02B4"/>
    <w:rsid w:val="3F7C50B1"/>
    <w:rsid w:val="40543C97"/>
    <w:rsid w:val="406B2371"/>
    <w:rsid w:val="407E15A7"/>
    <w:rsid w:val="408548B8"/>
    <w:rsid w:val="40AA3B81"/>
    <w:rsid w:val="411C5733"/>
    <w:rsid w:val="417112FA"/>
    <w:rsid w:val="41D30314"/>
    <w:rsid w:val="42446B53"/>
    <w:rsid w:val="42D57A4D"/>
    <w:rsid w:val="436A096E"/>
    <w:rsid w:val="440E68FF"/>
    <w:rsid w:val="44544A76"/>
    <w:rsid w:val="449544C5"/>
    <w:rsid w:val="44A55070"/>
    <w:rsid w:val="45225AF9"/>
    <w:rsid w:val="45530393"/>
    <w:rsid w:val="45750E93"/>
    <w:rsid w:val="45B93083"/>
    <w:rsid w:val="469F7AF8"/>
    <w:rsid w:val="475812CD"/>
    <w:rsid w:val="475D1115"/>
    <w:rsid w:val="478F3581"/>
    <w:rsid w:val="47B14FA6"/>
    <w:rsid w:val="47B96D86"/>
    <w:rsid w:val="47D615F1"/>
    <w:rsid w:val="47D93555"/>
    <w:rsid w:val="48034DA7"/>
    <w:rsid w:val="486F4BB5"/>
    <w:rsid w:val="48A60514"/>
    <w:rsid w:val="48DA768F"/>
    <w:rsid w:val="48E14418"/>
    <w:rsid w:val="48FB790A"/>
    <w:rsid w:val="491635D4"/>
    <w:rsid w:val="492A0748"/>
    <w:rsid w:val="49E7480F"/>
    <w:rsid w:val="4A3A7820"/>
    <w:rsid w:val="4AD818E7"/>
    <w:rsid w:val="4AF173EE"/>
    <w:rsid w:val="4BEA681C"/>
    <w:rsid w:val="4C2F1B9C"/>
    <w:rsid w:val="4C870D35"/>
    <w:rsid w:val="4D2832EB"/>
    <w:rsid w:val="4DB81983"/>
    <w:rsid w:val="4DF66F25"/>
    <w:rsid w:val="4E376DB9"/>
    <w:rsid w:val="4E716394"/>
    <w:rsid w:val="4ECC39F8"/>
    <w:rsid w:val="4F0A3ECF"/>
    <w:rsid w:val="4F595384"/>
    <w:rsid w:val="4F7F3CCA"/>
    <w:rsid w:val="502844C8"/>
    <w:rsid w:val="51D845E4"/>
    <w:rsid w:val="52341DDD"/>
    <w:rsid w:val="523A017B"/>
    <w:rsid w:val="531111FC"/>
    <w:rsid w:val="532D4FC8"/>
    <w:rsid w:val="533444FB"/>
    <w:rsid w:val="536F3BBC"/>
    <w:rsid w:val="55C54FE9"/>
    <w:rsid w:val="55DB4F23"/>
    <w:rsid w:val="55E07717"/>
    <w:rsid w:val="56397366"/>
    <w:rsid w:val="58080247"/>
    <w:rsid w:val="594A0658"/>
    <w:rsid w:val="5950112B"/>
    <w:rsid w:val="597E7D7A"/>
    <w:rsid w:val="59C3293C"/>
    <w:rsid w:val="5A1C766A"/>
    <w:rsid w:val="5CF528AB"/>
    <w:rsid w:val="5D132301"/>
    <w:rsid w:val="5EAF5616"/>
    <w:rsid w:val="5EF258CA"/>
    <w:rsid w:val="5F1E1E73"/>
    <w:rsid w:val="606D4916"/>
    <w:rsid w:val="607E64E9"/>
    <w:rsid w:val="612A3DEE"/>
    <w:rsid w:val="61993E05"/>
    <w:rsid w:val="62B67083"/>
    <w:rsid w:val="63132229"/>
    <w:rsid w:val="63C07045"/>
    <w:rsid w:val="649C599A"/>
    <w:rsid w:val="651B0FEE"/>
    <w:rsid w:val="65305229"/>
    <w:rsid w:val="662D7F1B"/>
    <w:rsid w:val="666E2F33"/>
    <w:rsid w:val="66B027B6"/>
    <w:rsid w:val="671A2875"/>
    <w:rsid w:val="67966EFB"/>
    <w:rsid w:val="67A96A9E"/>
    <w:rsid w:val="67B628F5"/>
    <w:rsid w:val="682119CD"/>
    <w:rsid w:val="69A94E0C"/>
    <w:rsid w:val="6A1A0E79"/>
    <w:rsid w:val="6A2F770C"/>
    <w:rsid w:val="6A5C5429"/>
    <w:rsid w:val="6B10403F"/>
    <w:rsid w:val="6B144D07"/>
    <w:rsid w:val="6B656B47"/>
    <w:rsid w:val="6B7E1643"/>
    <w:rsid w:val="6C714475"/>
    <w:rsid w:val="6CDB032D"/>
    <w:rsid w:val="6DBD736C"/>
    <w:rsid w:val="6DF45A5A"/>
    <w:rsid w:val="6E160DB8"/>
    <w:rsid w:val="6E5526FF"/>
    <w:rsid w:val="6F2B1820"/>
    <w:rsid w:val="6F2E0DB9"/>
    <w:rsid w:val="6F412F7A"/>
    <w:rsid w:val="6FD1108A"/>
    <w:rsid w:val="707E74C2"/>
    <w:rsid w:val="710D0440"/>
    <w:rsid w:val="716B6D0A"/>
    <w:rsid w:val="71C5585F"/>
    <w:rsid w:val="7207789C"/>
    <w:rsid w:val="720E79AF"/>
    <w:rsid w:val="73A1381E"/>
    <w:rsid w:val="7459468D"/>
    <w:rsid w:val="749131D7"/>
    <w:rsid w:val="756F240E"/>
    <w:rsid w:val="767955ED"/>
    <w:rsid w:val="768B4404"/>
    <w:rsid w:val="779817DA"/>
    <w:rsid w:val="77A5282B"/>
    <w:rsid w:val="77D476E8"/>
    <w:rsid w:val="77EA1879"/>
    <w:rsid w:val="782A7918"/>
    <w:rsid w:val="78AC2A23"/>
    <w:rsid w:val="79715756"/>
    <w:rsid w:val="7A500C84"/>
    <w:rsid w:val="7A7B08FF"/>
    <w:rsid w:val="7AA165B7"/>
    <w:rsid w:val="7AE21E9E"/>
    <w:rsid w:val="7B09318D"/>
    <w:rsid w:val="7B6004E6"/>
    <w:rsid w:val="7BE14791"/>
    <w:rsid w:val="7C15025C"/>
    <w:rsid w:val="7C4C470C"/>
    <w:rsid w:val="7CD03426"/>
    <w:rsid w:val="7CD16F56"/>
    <w:rsid w:val="7DFA5FDE"/>
    <w:rsid w:val="7E0B3994"/>
    <w:rsid w:val="7ED53627"/>
    <w:rsid w:val="7F1226AB"/>
    <w:rsid w:val="7F5B6E61"/>
    <w:rsid w:val="7FEF65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5"/>
    <w:autoRedefine/>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line="480" w:lineRule="auto"/>
      <w:ind w:firstLine="600"/>
    </w:pPr>
    <w:rPr>
      <w:sz w:val="28"/>
    </w:rPr>
  </w:style>
  <w:style w:type="paragraph" w:styleId="5">
    <w:name w:val="annotation text"/>
    <w:basedOn w:val="1"/>
    <w:autoRedefine/>
    <w:qFormat/>
    <w:uiPriority w:val="0"/>
    <w:pPr>
      <w:jc w:val="left"/>
    </w:pPr>
  </w:style>
  <w:style w:type="paragraph" w:styleId="6">
    <w:name w:val="Body Text"/>
    <w:basedOn w:val="1"/>
    <w:next w:val="1"/>
    <w:autoRedefine/>
    <w:qFormat/>
    <w:uiPriority w:val="1"/>
    <w:pPr>
      <w:spacing w:after="120" w:afterLines="0"/>
    </w:pPr>
  </w:style>
  <w:style w:type="paragraph" w:styleId="7">
    <w:name w:val="Balloon Text"/>
    <w:basedOn w:val="1"/>
    <w:link w:val="24"/>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pPr>
      <w:jc w:val="left"/>
    </w:pPr>
    <w:rPr>
      <w:b/>
      <w:caps/>
    </w:rPr>
  </w:style>
  <w:style w:type="paragraph" w:styleId="11">
    <w:name w:val="Title"/>
    <w:basedOn w:val="1"/>
    <w:autoRedefine/>
    <w:qFormat/>
    <w:uiPriority w:val="0"/>
    <w:pPr>
      <w:widowControl/>
      <w:overflowPunct w:val="0"/>
      <w:autoSpaceDE w:val="0"/>
      <w:autoSpaceDN w:val="0"/>
      <w:adjustRightInd w:val="0"/>
      <w:jc w:val="center"/>
      <w:textAlignment w:val="baseline"/>
    </w:pPr>
    <w:rPr>
      <w:b/>
      <w:kern w:val="0"/>
      <w:sz w:val="44"/>
      <w:lang w:val="en-GB"/>
    </w:rPr>
  </w:style>
  <w:style w:type="paragraph" w:styleId="12">
    <w:name w:val="Body Text First Indent"/>
    <w:basedOn w:val="6"/>
    <w:next w:val="1"/>
    <w:autoRedefine/>
    <w:qFormat/>
    <w:uiPriority w:val="99"/>
    <w:pPr>
      <w:widowControl/>
      <w:spacing w:after="120" w:afterLines="0" w:line="240" w:lineRule="auto"/>
      <w:ind w:firstLine="420" w:firstLineChars="100"/>
      <w:jc w:val="left"/>
    </w:pPr>
    <w:rPr>
      <w:rFonts w:ascii="Times New Roman" w:eastAsia="宋体"/>
      <w:kern w:val="0"/>
      <w:sz w:val="21"/>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styleId="17">
    <w:name w:val="Hyperlink"/>
    <w:autoRedefine/>
    <w:qFormat/>
    <w:uiPriority w:val="99"/>
    <w:rPr>
      <w:color w:val="0000FF"/>
      <w:u w:val="single"/>
    </w:rPr>
  </w:style>
  <w:style w:type="character" w:styleId="18">
    <w:name w:val="annotation reference"/>
    <w:basedOn w:val="15"/>
    <w:autoRedefine/>
    <w:qFormat/>
    <w:uiPriority w:val="0"/>
    <w:rPr>
      <w:sz w:val="21"/>
      <w:szCs w:val="21"/>
    </w:rPr>
  </w:style>
  <w:style w:type="paragraph" w:customStyle="1" w:styleId="19">
    <w:name w:val="正文文字缩进"/>
    <w:basedOn w:val="1"/>
    <w:autoRedefine/>
    <w:qFormat/>
    <w:uiPriority w:val="0"/>
    <w:pPr>
      <w:widowControl/>
      <w:spacing w:line="351" w:lineRule="atLeast"/>
      <w:ind w:firstLine="436"/>
      <w:textAlignment w:val="baseline"/>
    </w:pPr>
    <w:rPr>
      <w:color w:val="000000"/>
      <w:kern w:val="0"/>
      <w:sz w:val="30"/>
      <w:u w:color="000000"/>
    </w:rPr>
  </w:style>
  <w:style w:type="character" w:customStyle="1" w:styleId="20">
    <w:name w:val="标题 1 Char Char"/>
    <w:autoRedefine/>
    <w:qFormat/>
    <w:uiPriority w:val="0"/>
    <w:rPr>
      <w:rFonts w:eastAsia="宋体"/>
      <w:b/>
      <w:spacing w:val="-2"/>
      <w:sz w:val="24"/>
      <w:lang w:val="en-US" w:eastAsia="zh-CN"/>
    </w:rPr>
  </w:style>
  <w:style w:type="paragraph" w:customStyle="1" w:styleId="21">
    <w:name w:val="一、标题"/>
    <w:basedOn w:val="1"/>
    <w:autoRedefine/>
    <w:qFormat/>
    <w:uiPriority w:val="0"/>
    <w:rPr>
      <w:b/>
      <w:sz w:val="28"/>
    </w:rPr>
  </w:style>
  <w:style w:type="paragraph" w:styleId="22">
    <w:name w:val="List Paragraph"/>
    <w:basedOn w:val="1"/>
    <w:autoRedefine/>
    <w:qFormat/>
    <w:uiPriority w:val="34"/>
    <w:pPr>
      <w:ind w:firstLine="420" w:firstLineChars="200"/>
    </w:pPr>
  </w:style>
  <w:style w:type="character" w:customStyle="1" w:styleId="23">
    <w:name w:val="页眉 Char"/>
    <w:basedOn w:val="15"/>
    <w:link w:val="9"/>
    <w:autoRedefine/>
    <w:qFormat/>
    <w:uiPriority w:val="0"/>
    <w:rPr>
      <w:kern w:val="2"/>
      <w:sz w:val="18"/>
      <w:szCs w:val="18"/>
    </w:rPr>
  </w:style>
  <w:style w:type="character" w:customStyle="1" w:styleId="24">
    <w:name w:val="批注框文本 Char"/>
    <w:basedOn w:val="15"/>
    <w:link w:val="7"/>
    <w:autoRedefine/>
    <w:qFormat/>
    <w:uiPriority w:val="0"/>
    <w:rPr>
      <w:kern w:val="2"/>
      <w:sz w:val="18"/>
      <w:szCs w:val="18"/>
    </w:rPr>
  </w:style>
  <w:style w:type="character" w:customStyle="1" w:styleId="25">
    <w:name w:val="font31"/>
    <w:basedOn w:val="15"/>
    <w:autoRedefine/>
    <w:qFormat/>
    <w:uiPriority w:val="0"/>
    <w:rPr>
      <w:rFonts w:hint="eastAsia" w:ascii="宋体" w:hAnsi="宋体" w:eastAsia="宋体" w:cs="宋体"/>
      <w:color w:val="000000"/>
      <w:sz w:val="22"/>
      <w:szCs w:val="22"/>
      <w:u w:val="none"/>
    </w:rPr>
  </w:style>
  <w:style w:type="character" w:customStyle="1" w:styleId="26">
    <w:name w:val="font51"/>
    <w:basedOn w:val="15"/>
    <w:autoRedefine/>
    <w:qFormat/>
    <w:uiPriority w:val="0"/>
    <w:rPr>
      <w:rFonts w:hint="default" w:ascii="Times New Roman" w:hAnsi="Times New Roman" w:cs="Times New Roman"/>
      <w:color w:val="000000"/>
      <w:sz w:val="22"/>
      <w:szCs w:val="22"/>
      <w:u w:val="none"/>
    </w:rPr>
  </w:style>
  <w:style w:type="character" w:customStyle="1" w:styleId="27">
    <w:name w:val="font41"/>
    <w:basedOn w:val="15"/>
    <w:autoRedefine/>
    <w:qFormat/>
    <w:uiPriority w:val="0"/>
    <w:rPr>
      <w:rFonts w:ascii="仿宋_GB2312" w:eastAsia="仿宋_GB2312" w:cs="仿宋_GB2312"/>
      <w:color w:val="000000"/>
      <w:sz w:val="22"/>
      <w:szCs w:val="22"/>
      <w:u w:val="none"/>
    </w:rPr>
  </w:style>
  <w:style w:type="character" w:customStyle="1" w:styleId="28">
    <w:name w:val="font21"/>
    <w:basedOn w:val="15"/>
    <w:autoRedefine/>
    <w:qFormat/>
    <w:uiPriority w:val="0"/>
    <w:rPr>
      <w:rFonts w:hint="eastAsia" w:ascii="宋体" w:hAnsi="宋体" w:eastAsia="宋体" w:cs="宋体"/>
      <w:color w:val="000000"/>
      <w:sz w:val="22"/>
      <w:szCs w:val="22"/>
      <w:u w:val="none"/>
      <w:vertAlign w:val="superscript"/>
    </w:rPr>
  </w:style>
  <w:style w:type="character" w:customStyle="1" w:styleId="29">
    <w:name w:val="font01"/>
    <w:basedOn w:val="15"/>
    <w:autoRedefine/>
    <w:qFormat/>
    <w:uiPriority w:val="0"/>
    <w:rPr>
      <w:rFonts w:hint="eastAsia" w:ascii="宋体" w:hAnsi="宋体" w:eastAsia="宋体" w:cs="宋体"/>
      <w:color w:val="000000"/>
      <w:sz w:val="22"/>
      <w:szCs w:val="22"/>
      <w:u w:val="none"/>
    </w:rPr>
  </w:style>
  <w:style w:type="character" w:customStyle="1" w:styleId="30">
    <w:name w:val="font11"/>
    <w:basedOn w:val="15"/>
    <w:autoRedefine/>
    <w:qFormat/>
    <w:uiPriority w:val="0"/>
    <w:rPr>
      <w:rFonts w:hint="eastAsia" w:ascii="宋体" w:hAnsi="宋体" w:eastAsia="宋体" w:cs="宋体"/>
      <w:color w:val="000000"/>
      <w:sz w:val="24"/>
      <w:szCs w:val="24"/>
      <w:u w:val="none"/>
    </w:rPr>
  </w:style>
  <w:style w:type="paragraph" w:customStyle="1" w:styleId="31">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2">
    <w:name w:val="font81"/>
    <w:basedOn w:val="15"/>
    <w:autoRedefine/>
    <w:qFormat/>
    <w:uiPriority w:val="0"/>
    <w:rPr>
      <w:rFonts w:ascii="宋体" w:hAnsi="宋体" w:eastAsia="宋体" w:cs="宋体"/>
      <w:color w:val="000000"/>
      <w:sz w:val="20"/>
      <w:szCs w:val="20"/>
      <w:u w:val="none"/>
    </w:rPr>
  </w:style>
  <w:style w:type="character" w:customStyle="1" w:styleId="33">
    <w:name w:val="font71"/>
    <w:basedOn w:val="15"/>
    <w:autoRedefine/>
    <w:qFormat/>
    <w:uiPriority w:val="0"/>
    <w:rPr>
      <w:rFonts w:hint="eastAsia" w:ascii="仿宋" w:hAnsi="仿宋" w:eastAsia="仿宋" w:cs="仿宋"/>
      <w:color w:val="000000"/>
      <w:sz w:val="22"/>
      <w:szCs w:val="22"/>
      <w:u w:val="none"/>
    </w:rPr>
  </w:style>
  <w:style w:type="paragraph" w:customStyle="1" w:styleId="34">
    <w:name w:val="样式1"/>
    <w:basedOn w:val="1"/>
    <w:autoRedefine/>
    <w:qFormat/>
    <w:uiPriority w:val="0"/>
    <w:pPr>
      <w:spacing w:line="240" w:lineRule="exact"/>
    </w:pPr>
    <w:rPr>
      <w:rFonts w:ascii="宋体" w:hAnsi="宋体" w:eastAsia="宋体"/>
      <w:sz w:val="24"/>
      <w:szCs w:val="24"/>
    </w:rPr>
  </w:style>
  <w:style w:type="character" w:customStyle="1" w:styleId="35">
    <w:name w:val="标题 1 Char"/>
    <w:link w:val="4"/>
    <w:autoRedefine/>
    <w:qFormat/>
    <w:uiPriority w:val="0"/>
    <w:rPr>
      <w:rFonts w:ascii="宋体" w:hAnsi="Arial" w:eastAsia="黑体"/>
      <w:b/>
      <w:color w:val="000000"/>
      <w:kern w:val="44"/>
      <w:sz w:val="36"/>
    </w:rPr>
  </w:style>
  <w:style w:type="paragraph" w:customStyle="1" w:styleId="36">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9890</Words>
  <Characters>10210</Characters>
  <Lines>53</Lines>
  <Paragraphs>15</Paragraphs>
  <TotalTime>19</TotalTime>
  <ScaleCrop>false</ScaleCrop>
  <LinksUpToDate>false</LinksUpToDate>
  <CharactersWithSpaces>11396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2026-08-12T03:29:00Z</cp:lastPrinted>
  <dcterms:modified xsi:type="dcterms:W3CDTF">2026-08-14T06:34:24Z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46C0BD6111DC46FE937287C62B83E5F2_13</vt:lpwstr>
  </property>
  <property fmtid="{D5CDD505-2E9C-101B-9397-08002B2CF9AE}" pid="4" name="KSOTemplateDocerSaveRecord">
    <vt:lpwstr>eyJoZGlkIjoiNTVkNzExMmNlZTllZmYzYjIzZDNlN2M3MDhjZjk3N2IiLCJ1c2VySWQiOiI0MTkyNjk4ODkifQ==</vt:lpwstr>
  </property>
</Properties>
</file>